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86419379" w:displacedByCustomXml="next"/>
    <w:sdt>
      <w:sdtPr>
        <w:id w:val="140323046"/>
        <w:docPartObj>
          <w:docPartGallery w:val="Cover Pages"/>
          <w:docPartUnique/>
        </w:docPartObj>
      </w:sdtPr>
      <w:sdtContent>
        <w:p w14:paraId="5E2A4F18" w14:textId="7D8220BC" w:rsidR="003B4F5A" w:rsidRDefault="003B4F5A"/>
        <w:tbl>
          <w:tblPr>
            <w:tblpPr w:leftFromText="187" w:rightFromText="187" w:horzAnchor="margin" w:tblpXSpec="center" w:tblpY="2881"/>
            <w:tblW w:w="4000" w:type="pct"/>
            <w:tblBorders>
              <w:left w:val="single" w:sz="12" w:space="0" w:color="D34817" w:themeColor="accent1"/>
            </w:tblBorders>
            <w:tblCellMar>
              <w:left w:w="144" w:type="dxa"/>
              <w:right w:w="115" w:type="dxa"/>
            </w:tblCellMar>
            <w:tblLook w:val="04A0" w:firstRow="1" w:lastRow="0" w:firstColumn="1" w:lastColumn="0" w:noHBand="0" w:noVBand="1"/>
          </w:tblPr>
          <w:tblGrid>
            <w:gridCol w:w="7682"/>
          </w:tblGrid>
          <w:tr w:rsidR="003B4F5A" w14:paraId="01726402" w14:textId="77777777">
            <w:sdt>
              <w:sdtPr>
                <w:rPr>
                  <w:color w:val="9D3511" w:themeColor="accent1" w:themeShade="BF"/>
                  <w:sz w:val="24"/>
                  <w:szCs w:val="24"/>
                </w:rPr>
                <w:alias w:val="Company"/>
                <w:id w:val="13406915"/>
                <w:placeholder>
                  <w:docPart w:val="D9B4B230060C4DBEA132B89623DB7CF9"/>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8293F69" w14:textId="6721C1D6" w:rsidR="003B4F5A" w:rsidRDefault="003B4F5A">
                    <w:pPr>
                      <w:pStyle w:val="NoSpacing"/>
                      <w:rPr>
                        <w:color w:val="9D3511" w:themeColor="accent1" w:themeShade="BF"/>
                        <w:sz w:val="24"/>
                      </w:rPr>
                    </w:pPr>
                    <w:r>
                      <w:rPr>
                        <w:color w:val="9D3511" w:themeColor="accent1" w:themeShade="BF"/>
                        <w:sz w:val="24"/>
                        <w:szCs w:val="24"/>
                      </w:rPr>
                      <w:t>MALDON DISTRICT COUNCIL</w:t>
                    </w:r>
                  </w:p>
                </w:tc>
              </w:sdtContent>
            </w:sdt>
          </w:tr>
          <w:tr w:rsidR="003B4F5A" w14:paraId="0F07C55A" w14:textId="77777777">
            <w:tc>
              <w:tcPr>
                <w:tcW w:w="7672" w:type="dxa"/>
              </w:tcPr>
              <w:sdt>
                <w:sdtPr>
                  <w:rPr>
                    <w:rFonts w:asciiTheme="majorHAnsi" w:eastAsiaTheme="majorEastAsia" w:hAnsiTheme="majorHAnsi" w:cstheme="majorBidi"/>
                    <w:color w:val="D34817" w:themeColor="accent1"/>
                    <w:sz w:val="88"/>
                    <w:szCs w:val="88"/>
                  </w:rPr>
                  <w:alias w:val="Title"/>
                  <w:id w:val="13406919"/>
                  <w:placeholder>
                    <w:docPart w:val="74E01E68E35D48589333F4432E9F8158"/>
                  </w:placeholder>
                  <w:dataBinding w:prefixMappings="xmlns:ns0='http://schemas.openxmlformats.org/package/2006/metadata/core-properties' xmlns:ns1='http://purl.org/dc/elements/1.1/'" w:xpath="/ns0:coreProperties[1]/ns1:title[1]" w:storeItemID="{6C3C8BC8-F283-45AE-878A-BAB7291924A1}"/>
                  <w:text/>
                </w:sdtPr>
                <w:sdtContent>
                  <w:p w14:paraId="1C73516F" w14:textId="1116BE12" w:rsidR="003B4F5A" w:rsidRDefault="003B4F5A">
                    <w:pPr>
                      <w:pStyle w:val="NoSpacing"/>
                      <w:spacing w:line="216" w:lineRule="auto"/>
                      <w:rPr>
                        <w:rFonts w:asciiTheme="majorHAnsi" w:eastAsiaTheme="majorEastAsia" w:hAnsiTheme="majorHAnsi" w:cstheme="majorBidi"/>
                        <w:color w:val="D34817" w:themeColor="accent1"/>
                        <w:sz w:val="88"/>
                        <w:szCs w:val="88"/>
                      </w:rPr>
                    </w:pPr>
                    <w:r>
                      <w:rPr>
                        <w:rFonts w:asciiTheme="majorHAnsi" w:eastAsiaTheme="majorEastAsia" w:hAnsiTheme="majorHAnsi" w:cstheme="majorBidi"/>
                        <w:color w:val="D34817" w:themeColor="accent1"/>
                        <w:sz w:val="88"/>
                        <w:szCs w:val="88"/>
                      </w:rPr>
                      <w:t>INFRASTRUCTURE FUNDING STATEMENT</w:t>
                    </w:r>
                  </w:p>
                </w:sdtContent>
              </w:sdt>
            </w:tc>
          </w:tr>
          <w:tr w:rsidR="003B4F5A" w14:paraId="5CC42543" w14:textId="77777777">
            <w:sdt>
              <w:sdtPr>
                <w:rPr>
                  <w:color w:val="9D3511" w:themeColor="accent1" w:themeShade="BF"/>
                  <w:sz w:val="24"/>
                  <w:szCs w:val="24"/>
                </w:rPr>
                <w:alias w:val="Subtitle"/>
                <w:id w:val="13406923"/>
                <w:placeholder>
                  <w:docPart w:val="31D053B0E9D346C3869F6AB8C3C8B045"/>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382ACB40" w14:textId="49F37D2F" w:rsidR="003B4F5A" w:rsidRDefault="00C0466A">
                    <w:pPr>
                      <w:pStyle w:val="NoSpacing"/>
                      <w:rPr>
                        <w:color w:val="9D3511" w:themeColor="accent1" w:themeShade="BF"/>
                        <w:sz w:val="24"/>
                      </w:rPr>
                    </w:pPr>
                    <w:r>
                      <w:rPr>
                        <w:color w:val="9D3511" w:themeColor="accent1" w:themeShade="BF"/>
                        <w:sz w:val="24"/>
                        <w:szCs w:val="24"/>
                      </w:rPr>
                      <w:t>2024/2025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19"/>
          </w:tblGrid>
          <w:tr w:rsidR="003B4F5A" w14:paraId="061849A2" w14:textId="77777777">
            <w:tc>
              <w:tcPr>
                <w:tcW w:w="7221" w:type="dxa"/>
                <w:tcMar>
                  <w:top w:w="216" w:type="dxa"/>
                  <w:left w:w="115" w:type="dxa"/>
                  <w:bottom w:w="216" w:type="dxa"/>
                  <w:right w:w="115" w:type="dxa"/>
                </w:tcMar>
              </w:tcPr>
              <w:p w14:paraId="18CAF4AB" w14:textId="1399F9CD" w:rsidR="003B4F5A" w:rsidRDefault="00147A62">
                <w:pPr>
                  <w:pStyle w:val="NoSpacing"/>
                  <w:rPr>
                    <w:color w:val="D34817" w:themeColor="accent1"/>
                    <w:sz w:val="28"/>
                    <w:szCs w:val="28"/>
                  </w:rPr>
                </w:pPr>
                <w:r>
                  <w:rPr>
                    <w:color w:val="D34817" w:themeColor="accent1"/>
                    <w:sz w:val="28"/>
                    <w:szCs w:val="28"/>
                  </w:rPr>
                  <w:t>01</w:t>
                </w:r>
                <w:r w:rsidRPr="00147A62">
                  <w:rPr>
                    <w:color w:val="D34817" w:themeColor="accent1"/>
                    <w:sz w:val="28"/>
                    <w:szCs w:val="28"/>
                    <w:vertAlign w:val="superscript"/>
                  </w:rPr>
                  <w:t>st</w:t>
                </w:r>
                <w:r>
                  <w:rPr>
                    <w:color w:val="D34817" w:themeColor="accent1"/>
                    <w:sz w:val="28"/>
                    <w:szCs w:val="28"/>
                  </w:rPr>
                  <w:t xml:space="preserve"> </w:t>
                </w:r>
                <w:r w:rsidR="00412F66">
                  <w:rPr>
                    <w:color w:val="D34817" w:themeColor="accent1"/>
                    <w:sz w:val="28"/>
                    <w:szCs w:val="28"/>
                  </w:rPr>
                  <w:t>August</w:t>
                </w:r>
                <w:r>
                  <w:rPr>
                    <w:color w:val="D34817" w:themeColor="accent1"/>
                    <w:sz w:val="28"/>
                    <w:szCs w:val="28"/>
                  </w:rPr>
                  <w:t xml:space="preserve"> 2025</w:t>
                </w:r>
              </w:p>
              <w:p w14:paraId="3D1913C5" w14:textId="77777777" w:rsidR="003B4F5A" w:rsidRDefault="003B4F5A">
                <w:pPr>
                  <w:pStyle w:val="NoSpacing"/>
                  <w:rPr>
                    <w:color w:val="D34817" w:themeColor="accent1"/>
                  </w:rPr>
                </w:pPr>
              </w:p>
            </w:tc>
          </w:tr>
        </w:tbl>
        <w:p w14:paraId="26EC9C06" w14:textId="534447C5" w:rsidR="003B4F5A" w:rsidRDefault="003B4F5A">
          <w:pPr>
            <w:rPr>
              <w:rFonts w:asciiTheme="majorHAnsi" w:eastAsiaTheme="majorEastAsia" w:hAnsiTheme="majorHAnsi" w:cstheme="majorBidi"/>
              <w:color w:val="9D3511" w:themeColor="accent1" w:themeShade="BF"/>
              <w:sz w:val="36"/>
              <w:szCs w:val="36"/>
            </w:rPr>
          </w:pPr>
          <w:r>
            <w:br w:type="page"/>
          </w:r>
        </w:p>
      </w:sdtContent>
    </w:sdt>
    <w:sdt>
      <w:sdtPr>
        <w:rPr>
          <w:rFonts w:asciiTheme="minorHAnsi" w:eastAsiaTheme="minorHAnsi" w:hAnsiTheme="minorHAnsi" w:cstheme="minorBidi"/>
          <w:color w:val="auto"/>
          <w:sz w:val="21"/>
          <w:szCs w:val="21"/>
        </w:rPr>
        <w:id w:val="-1774701137"/>
        <w:docPartObj>
          <w:docPartGallery w:val="Table of Contents"/>
          <w:docPartUnique/>
        </w:docPartObj>
      </w:sdtPr>
      <w:sdtEndPr>
        <w:rPr>
          <w:b/>
          <w:bCs/>
          <w:noProof/>
        </w:rPr>
      </w:sdtEndPr>
      <w:sdtContent>
        <w:p w14:paraId="666FF41C" w14:textId="63B4B765" w:rsidR="00A44137" w:rsidRDefault="00A44137">
          <w:pPr>
            <w:pStyle w:val="TOCHeading"/>
          </w:pPr>
          <w:r>
            <w:t>Contents</w:t>
          </w:r>
        </w:p>
        <w:p w14:paraId="69A82E59" w14:textId="467DECB6" w:rsidR="00412F66" w:rsidRDefault="00A44137">
          <w:pPr>
            <w:pStyle w:val="TOC1"/>
            <w:tabs>
              <w:tab w:val="left" w:pos="720"/>
              <w:tab w:val="right" w:leader="dot" w:pos="9607"/>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6425392" w:history="1">
            <w:r w:rsidR="00412F66" w:rsidRPr="000C705F">
              <w:rPr>
                <w:rStyle w:val="Hyperlink"/>
                <w:noProof/>
              </w:rPr>
              <w:t>1.0</w:t>
            </w:r>
            <w:r w:rsidR="00412F66">
              <w:rPr>
                <w:rFonts w:eastAsiaTheme="minorEastAsia"/>
                <w:noProof/>
                <w:kern w:val="2"/>
                <w:sz w:val="24"/>
                <w:szCs w:val="24"/>
                <w:lang w:eastAsia="en-GB"/>
                <w14:ligatures w14:val="standardContextual"/>
              </w:rPr>
              <w:tab/>
            </w:r>
            <w:r w:rsidR="00412F66" w:rsidRPr="000C705F">
              <w:rPr>
                <w:rStyle w:val="Hyperlink"/>
                <w:noProof/>
              </w:rPr>
              <w:t>Introduction</w:t>
            </w:r>
            <w:r w:rsidR="00412F66">
              <w:rPr>
                <w:noProof/>
                <w:webHidden/>
              </w:rPr>
              <w:tab/>
            </w:r>
            <w:r w:rsidR="00412F66">
              <w:rPr>
                <w:noProof/>
                <w:webHidden/>
              </w:rPr>
              <w:fldChar w:fldCharType="begin"/>
            </w:r>
            <w:r w:rsidR="00412F66">
              <w:rPr>
                <w:noProof/>
                <w:webHidden/>
              </w:rPr>
              <w:instrText xml:space="preserve"> PAGEREF _Toc206425392 \h </w:instrText>
            </w:r>
            <w:r w:rsidR="00412F66">
              <w:rPr>
                <w:noProof/>
                <w:webHidden/>
              </w:rPr>
            </w:r>
            <w:r w:rsidR="00412F66">
              <w:rPr>
                <w:noProof/>
                <w:webHidden/>
              </w:rPr>
              <w:fldChar w:fldCharType="separate"/>
            </w:r>
            <w:r w:rsidR="00412F66">
              <w:rPr>
                <w:noProof/>
                <w:webHidden/>
              </w:rPr>
              <w:t>2</w:t>
            </w:r>
            <w:r w:rsidR="00412F66">
              <w:rPr>
                <w:noProof/>
                <w:webHidden/>
              </w:rPr>
              <w:fldChar w:fldCharType="end"/>
            </w:r>
          </w:hyperlink>
        </w:p>
        <w:p w14:paraId="7406FB00" w14:textId="0DAA82F0" w:rsidR="00412F66" w:rsidRDefault="00412F66">
          <w:pPr>
            <w:pStyle w:val="TOC1"/>
            <w:tabs>
              <w:tab w:val="left" w:pos="720"/>
              <w:tab w:val="right" w:leader="dot" w:pos="9607"/>
            </w:tabs>
            <w:rPr>
              <w:rFonts w:eastAsiaTheme="minorEastAsia"/>
              <w:noProof/>
              <w:kern w:val="2"/>
              <w:sz w:val="24"/>
              <w:szCs w:val="24"/>
              <w:lang w:eastAsia="en-GB"/>
              <w14:ligatures w14:val="standardContextual"/>
            </w:rPr>
          </w:pPr>
          <w:hyperlink w:anchor="_Toc206425393" w:history="1">
            <w:r w:rsidRPr="000C705F">
              <w:rPr>
                <w:rStyle w:val="Hyperlink"/>
                <w:noProof/>
              </w:rPr>
              <w:t xml:space="preserve">2.0 </w:t>
            </w:r>
            <w:r>
              <w:rPr>
                <w:rFonts w:eastAsiaTheme="minorEastAsia"/>
                <w:noProof/>
                <w:kern w:val="2"/>
                <w:sz w:val="24"/>
                <w:szCs w:val="24"/>
                <w:lang w:eastAsia="en-GB"/>
                <w14:ligatures w14:val="standardContextual"/>
              </w:rPr>
              <w:tab/>
            </w:r>
            <w:r w:rsidRPr="000C705F">
              <w:rPr>
                <w:rStyle w:val="Hyperlink"/>
                <w:noProof/>
              </w:rPr>
              <w:t>Section 106 Income for 2024/25</w:t>
            </w:r>
            <w:r>
              <w:rPr>
                <w:noProof/>
                <w:webHidden/>
              </w:rPr>
              <w:tab/>
            </w:r>
            <w:r>
              <w:rPr>
                <w:noProof/>
                <w:webHidden/>
              </w:rPr>
              <w:fldChar w:fldCharType="begin"/>
            </w:r>
            <w:r>
              <w:rPr>
                <w:noProof/>
                <w:webHidden/>
              </w:rPr>
              <w:instrText xml:space="preserve"> PAGEREF _Toc206425393 \h </w:instrText>
            </w:r>
            <w:r>
              <w:rPr>
                <w:noProof/>
                <w:webHidden/>
              </w:rPr>
            </w:r>
            <w:r>
              <w:rPr>
                <w:noProof/>
                <w:webHidden/>
              </w:rPr>
              <w:fldChar w:fldCharType="separate"/>
            </w:r>
            <w:r>
              <w:rPr>
                <w:noProof/>
                <w:webHidden/>
              </w:rPr>
              <w:t>3</w:t>
            </w:r>
            <w:r>
              <w:rPr>
                <w:noProof/>
                <w:webHidden/>
              </w:rPr>
              <w:fldChar w:fldCharType="end"/>
            </w:r>
          </w:hyperlink>
        </w:p>
        <w:p w14:paraId="4AD813B4" w14:textId="6608D3BC" w:rsidR="00412F66" w:rsidRDefault="00412F66">
          <w:pPr>
            <w:pStyle w:val="TOC1"/>
            <w:tabs>
              <w:tab w:val="left" w:pos="720"/>
              <w:tab w:val="right" w:leader="dot" w:pos="9607"/>
            </w:tabs>
            <w:rPr>
              <w:rFonts w:eastAsiaTheme="minorEastAsia"/>
              <w:noProof/>
              <w:kern w:val="2"/>
              <w:sz w:val="24"/>
              <w:szCs w:val="24"/>
              <w:lang w:eastAsia="en-GB"/>
              <w14:ligatures w14:val="standardContextual"/>
            </w:rPr>
          </w:pPr>
          <w:hyperlink w:anchor="_Toc206425394" w:history="1">
            <w:r w:rsidRPr="000C705F">
              <w:rPr>
                <w:rStyle w:val="Hyperlink"/>
                <w:noProof/>
              </w:rPr>
              <w:t>3.0</w:t>
            </w:r>
            <w:r>
              <w:rPr>
                <w:rFonts w:eastAsiaTheme="minorEastAsia"/>
                <w:noProof/>
                <w:kern w:val="2"/>
                <w:sz w:val="24"/>
                <w:szCs w:val="24"/>
                <w:lang w:eastAsia="en-GB"/>
                <w14:ligatures w14:val="standardContextual"/>
              </w:rPr>
              <w:tab/>
            </w:r>
            <w:r w:rsidRPr="000C705F">
              <w:rPr>
                <w:rStyle w:val="Hyperlink"/>
                <w:noProof/>
              </w:rPr>
              <w:t>Section 106 Expenditure for 2024/25</w:t>
            </w:r>
            <w:r>
              <w:rPr>
                <w:noProof/>
                <w:webHidden/>
              </w:rPr>
              <w:tab/>
            </w:r>
            <w:r>
              <w:rPr>
                <w:noProof/>
                <w:webHidden/>
              </w:rPr>
              <w:fldChar w:fldCharType="begin"/>
            </w:r>
            <w:r>
              <w:rPr>
                <w:noProof/>
                <w:webHidden/>
              </w:rPr>
              <w:instrText xml:space="preserve"> PAGEREF _Toc206425394 \h </w:instrText>
            </w:r>
            <w:r>
              <w:rPr>
                <w:noProof/>
                <w:webHidden/>
              </w:rPr>
            </w:r>
            <w:r>
              <w:rPr>
                <w:noProof/>
                <w:webHidden/>
              </w:rPr>
              <w:fldChar w:fldCharType="separate"/>
            </w:r>
            <w:r>
              <w:rPr>
                <w:noProof/>
                <w:webHidden/>
              </w:rPr>
              <w:t>4</w:t>
            </w:r>
            <w:r>
              <w:rPr>
                <w:noProof/>
                <w:webHidden/>
              </w:rPr>
              <w:fldChar w:fldCharType="end"/>
            </w:r>
          </w:hyperlink>
        </w:p>
        <w:p w14:paraId="5E78BF06" w14:textId="620DF043" w:rsidR="00412F66" w:rsidRDefault="00412F66">
          <w:pPr>
            <w:pStyle w:val="TOC1"/>
            <w:tabs>
              <w:tab w:val="left" w:pos="720"/>
              <w:tab w:val="right" w:leader="dot" w:pos="9607"/>
            </w:tabs>
            <w:rPr>
              <w:rFonts w:eastAsiaTheme="minorEastAsia"/>
              <w:noProof/>
              <w:kern w:val="2"/>
              <w:sz w:val="24"/>
              <w:szCs w:val="24"/>
              <w:lang w:eastAsia="en-GB"/>
              <w14:ligatures w14:val="standardContextual"/>
            </w:rPr>
          </w:pPr>
          <w:hyperlink w:anchor="_Toc206425395" w:history="1">
            <w:r w:rsidRPr="000C705F">
              <w:rPr>
                <w:rStyle w:val="Hyperlink"/>
                <w:noProof/>
              </w:rPr>
              <w:t>4.0</w:t>
            </w:r>
            <w:r>
              <w:rPr>
                <w:rFonts w:eastAsiaTheme="minorEastAsia"/>
                <w:noProof/>
                <w:kern w:val="2"/>
                <w:sz w:val="24"/>
                <w:szCs w:val="24"/>
                <w:lang w:eastAsia="en-GB"/>
                <w14:ligatures w14:val="standardContextual"/>
              </w:rPr>
              <w:tab/>
            </w:r>
            <w:r w:rsidRPr="000C705F">
              <w:rPr>
                <w:rStyle w:val="Hyperlink"/>
                <w:noProof/>
              </w:rPr>
              <w:t>Total Funding Negotiated, Received and Spent Since 1992</w:t>
            </w:r>
            <w:r>
              <w:rPr>
                <w:noProof/>
                <w:webHidden/>
              </w:rPr>
              <w:tab/>
            </w:r>
            <w:r>
              <w:rPr>
                <w:noProof/>
                <w:webHidden/>
              </w:rPr>
              <w:fldChar w:fldCharType="begin"/>
            </w:r>
            <w:r>
              <w:rPr>
                <w:noProof/>
                <w:webHidden/>
              </w:rPr>
              <w:instrText xml:space="preserve"> PAGEREF _Toc206425395 \h </w:instrText>
            </w:r>
            <w:r>
              <w:rPr>
                <w:noProof/>
                <w:webHidden/>
              </w:rPr>
            </w:r>
            <w:r>
              <w:rPr>
                <w:noProof/>
                <w:webHidden/>
              </w:rPr>
              <w:fldChar w:fldCharType="separate"/>
            </w:r>
            <w:r>
              <w:rPr>
                <w:noProof/>
                <w:webHidden/>
              </w:rPr>
              <w:t>6</w:t>
            </w:r>
            <w:r>
              <w:rPr>
                <w:noProof/>
                <w:webHidden/>
              </w:rPr>
              <w:fldChar w:fldCharType="end"/>
            </w:r>
          </w:hyperlink>
        </w:p>
        <w:p w14:paraId="594532D4" w14:textId="607E497B" w:rsidR="00412F66" w:rsidRDefault="00412F66">
          <w:pPr>
            <w:pStyle w:val="TOC1"/>
            <w:tabs>
              <w:tab w:val="left" w:pos="720"/>
              <w:tab w:val="right" w:leader="dot" w:pos="9607"/>
            </w:tabs>
            <w:rPr>
              <w:rFonts w:eastAsiaTheme="minorEastAsia"/>
              <w:noProof/>
              <w:kern w:val="2"/>
              <w:sz w:val="24"/>
              <w:szCs w:val="24"/>
              <w:lang w:eastAsia="en-GB"/>
              <w14:ligatures w14:val="standardContextual"/>
            </w:rPr>
          </w:pPr>
          <w:hyperlink w:anchor="_Toc206425396" w:history="1">
            <w:r w:rsidRPr="000C705F">
              <w:rPr>
                <w:rStyle w:val="Hyperlink"/>
                <w:noProof/>
              </w:rPr>
              <w:t>5.0</w:t>
            </w:r>
            <w:r>
              <w:rPr>
                <w:rFonts w:eastAsiaTheme="minorEastAsia"/>
                <w:noProof/>
                <w:kern w:val="2"/>
                <w:sz w:val="24"/>
                <w:szCs w:val="24"/>
                <w:lang w:eastAsia="en-GB"/>
                <w14:ligatures w14:val="standardContextual"/>
              </w:rPr>
              <w:tab/>
            </w:r>
            <w:r w:rsidRPr="000C705F">
              <w:rPr>
                <w:rStyle w:val="Hyperlink"/>
                <w:noProof/>
              </w:rPr>
              <w:t>Affordable Homes</w:t>
            </w:r>
            <w:r>
              <w:rPr>
                <w:noProof/>
                <w:webHidden/>
              </w:rPr>
              <w:tab/>
            </w:r>
            <w:r>
              <w:rPr>
                <w:noProof/>
                <w:webHidden/>
              </w:rPr>
              <w:fldChar w:fldCharType="begin"/>
            </w:r>
            <w:r>
              <w:rPr>
                <w:noProof/>
                <w:webHidden/>
              </w:rPr>
              <w:instrText xml:space="preserve"> PAGEREF _Toc206425396 \h </w:instrText>
            </w:r>
            <w:r>
              <w:rPr>
                <w:noProof/>
                <w:webHidden/>
              </w:rPr>
            </w:r>
            <w:r>
              <w:rPr>
                <w:noProof/>
                <w:webHidden/>
              </w:rPr>
              <w:fldChar w:fldCharType="separate"/>
            </w:r>
            <w:r>
              <w:rPr>
                <w:noProof/>
                <w:webHidden/>
              </w:rPr>
              <w:t>8</w:t>
            </w:r>
            <w:r>
              <w:rPr>
                <w:noProof/>
                <w:webHidden/>
              </w:rPr>
              <w:fldChar w:fldCharType="end"/>
            </w:r>
          </w:hyperlink>
        </w:p>
        <w:p w14:paraId="4EBBCD33" w14:textId="6AA19C79" w:rsidR="00412F66" w:rsidRDefault="00412F66">
          <w:pPr>
            <w:pStyle w:val="TOC1"/>
            <w:tabs>
              <w:tab w:val="left" w:pos="720"/>
              <w:tab w:val="right" w:leader="dot" w:pos="9607"/>
            </w:tabs>
            <w:rPr>
              <w:rFonts w:eastAsiaTheme="minorEastAsia"/>
              <w:noProof/>
              <w:kern w:val="2"/>
              <w:sz w:val="24"/>
              <w:szCs w:val="24"/>
              <w:lang w:eastAsia="en-GB"/>
              <w14:ligatures w14:val="standardContextual"/>
            </w:rPr>
          </w:pPr>
          <w:hyperlink w:anchor="_Toc206425397" w:history="1">
            <w:r w:rsidRPr="000C705F">
              <w:rPr>
                <w:rStyle w:val="Hyperlink"/>
                <w:rFonts w:cstheme="majorHAnsi"/>
                <w:bCs/>
                <w:noProof/>
              </w:rPr>
              <w:t>6.0</w:t>
            </w:r>
            <w:r>
              <w:rPr>
                <w:rFonts w:eastAsiaTheme="minorEastAsia"/>
                <w:noProof/>
                <w:kern w:val="2"/>
                <w:sz w:val="24"/>
                <w:szCs w:val="24"/>
                <w:lang w:eastAsia="en-GB"/>
                <w14:ligatures w14:val="standardContextual"/>
              </w:rPr>
              <w:tab/>
            </w:r>
            <w:r w:rsidRPr="000C705F">
              <w:rPr>
                <w:rStyle w:val="Hyperlink"/>
                <w:rFonts w:cstheme="majorHAnsi"/>
                <w:bCs/>
                <w:noProof/>
              </w:rPr>
              <w:t>Governance</w:t>
            </w:r>
            <w:r>
              <w:rPr>
                <w:noProof/>
                <w:webHidden/>
              </w:rPr>
              <w:tab/>
            </w:r>
            <w:r>
              <w:rPr>
                <w:noProof/>
                <w:webHidden/>
              </w:rPr>
              <w:fldChar w:fldCharType="begin"/>
            </w:r>
            <w:r>
              <w:rPr>
                <w:noProof/>
                <w:webHidden/>
              </w:rPr>
              <w:instrText xml:space="preserve"> PAGEREF _Toc206425397 \h </w:instrText>
            </w:r>
            <w:r>
              <w:rPr>
                <w:noProof/>
                <w:webHidden/>
              </w:rPr>
            </w:r>
            <w:r>
              <w:rPr>
                <w:noProof/>
                <w:webHidden/>
              </w:rPr>
              <w:fldChar w:fldCharType="separate"/>
            </w:r>
            <w:r>
              <w:rPr>
                <w:noProof/>
                <w:webHidden/>
              </w:rPr>
              <w:t>10</w:t>
            </w:r>
            <w:r>
              <w:rPr>
                <w:noProof/>
                <w:webHidden/>
              </w:rPr>
              <w:fldChar w:fldCharType="end"/>
            </w:r>
          </w:hyperlink>
        </w:p>
        <w:p w14:paraId="6FF4B75A" w14:textId="15BC03BC" w:rsidR="00A44137" w:rsidRDefault="00A44137">
          <w:r>
            <w:rPr>
              <w:b/>
              <w:bCs/>
              <w:noProof/>
            </w:rPr>
            <w:fldChar w:fldCharType="end"/>
          </w:r>
        </w:p>
      </w:sdtContent>
    </w:sdt>
    <w:p w14:paraId="56541CF4" w14:textId="77777777" w:rsidR="00A44137" w:rsidRDefault="00A44137">
      <w:pPr>
        <w:rPr>
          <w:rFonts w:asciiTheme="majorHAnsi" w:eastAsiaTheme="majorEastAsia" w:hAnsiTheme="majorHAnsi" w:cstheme="majorBidi"/>
          <w:color w:val="9D3511" w:themeColor="accent1" w:themeShade="BF"/>
          <w:sz w:val="36"/>
          <w:szCs w:val="36"/>
        </w:rPr>
      </w:pPr>
      <w:r>
        <w:br w:type="page"/>
      </w:r>
    </w:p>
    <w:p w14:paraId="271B96FF" w14:textId="6996B96B" w:rsidR="00C83712" w:rsidRPr="00181EED" w:rsidRDefault="00E4498B" w:rsidP="00181EED">
      <w:pPr>
        <w:pStyle w:val="Heading1"/>
      </w:pPr>
      <w:bookmarkStart w:id="1" w:name="_Toc206425392"/>
      <w:r w:rsidRPr="00181EED">
        <w:lastRenderedPageBreak/>
        <w:t>1.0</w:t>
      </w:r>
      <w:r w:rsidRPr="00181EED">
        <w:tab/>
      </w:r>
      <w:r w:rsidR="00C83712" w:rsidRPr="00181EED">
        <w:t>Introduction</w:t>
      </w:r>
      <w:bookmarkEnd w:id="0"/>
      <w:bookmarkEnd w:id="1"/>
    </w:p>
    <w:p w14:paraId="687C6DA8" w14:textId="77777777" w:rsidR="00C83712" w:rsidRPr="00181EED" w:rsidRDefault="00C83712" w:rsidP="00181EED"/>
    <w:p w14:paraId="575D508D" w14:textId="67B59ABE" w:rsidR="00C83712" w:rsidRPr="00181EED" w:rsidRDefault="00ED4C3A" w:rsidP="003B4F5A">
      <w:pPr>
        <w:jc w:val="both"/>
        <w:rPr>
          <w:rFonts w:ascii="Verdana" w:hAnsi="Verdana"/>
          <w:sz w:val="22"/>
          <w:szCs w:val="22"/>
        </w:rPr>
      </w:pPr>
      <w:r w:rsidRPr="00181EED">
        <w:rPr>
          <w:rFonts w:ascii="Verdana" w:hAnsi="Verdana"/>
          <w:sz w:val="22"/>
          <w:szCs w:val="22"/>
        </w:rPr>
        <w:t>1.1</w:t>
      </w:r>
      <w:r w:rsidRPr="00181EED">
        <w:rPr>
          <w:rFonts w:ascii="Verdana" w:hAnsi="Verdana"/>
          <w:sz w:val="22"/>
          <w:szCs w:val="22"/>
        </w:rPr>
        <w:tab/>
      </w:r>
      <w:r w:rsidR="00C83712" w:rsidRPr="00181EED">
        <w:rPr>
          <w:rFonts w:ascii="Verdana" w:hAnsi="Verdana"/>
          <w:sz w:val="22"/>
          <w:szCs w:val="22"/>
        </w:rPr>
        <w:t>Government guidance requires Maldon District Council</w:t>
      </w:r>
      <w:r w:rsidR="009E72FF">
        <w:rPr>
          <w:rFonts w:ascii="Verdana" w:hAnsi="Verdana"/>
          <w:sz w:val="22"/>
          <w:szCs w:val="22"/>
        </w:rPr>
        <w:t>, as a Local Planning Authority</w:t>
      </w:r>
      <w:r w:rsidR="00C83712" w:rsidRPr="00181EED">
        <w:rPr>
          <w:rFonts w:ascii="Verdana" w:hAnsi="Verdana"/>
          <w:sz w:val="22"/>
          <w:szCs w:val="22"/>
        </w:rPr>
        <w:t xml:space="preserve"> </w:t>
      </w:r>
      <w:r w:rsidR="009E72FF">
        <w:rPr>
          <w:rFonts w:ascii="Verdana" w:hAnsi="Verdana"/>
          <w:sz w:val="22"/>
          <w:szCs w:val="22"/>
        </w:rPr>
        <w:t xml:space="preserve">(LPA) </w:t>
      </w:r>
      <w:r w:rsidR="00C83712" w:rsidRPr="00181EED">
        <w:rPr>
          <w:rFonts w:ascii="Verdana" w:hAnsi="Verdana"/>
          <w:sz w:val="22"/>
          <w:szCs w:val="22"/>
        </w:rPr>
        <w:t>to produce a</w:t>
      </w:r>
      <w:r w:rsidR="00820C25" w:rsidRPr="00181EED">
        <w:rPr>
          <w:rFonts w:ascii="Verdana" w:hAnsi="Verdana"/>
          <w:sz w:val="22"/>
          <w:szCs w:val="22"/>
        </w:rPr>
        <w:t xml:space="preserve"> yearly </w:t>
      </w:r>
      <w:r w:rsidR="00C83712" w:rsidRPr="00181EED">
        <w:rPr>
          <w:rFonts w:ascii="Verdana" w:hAnsi="Verdana"/>
          <w:sz w:val="22"/>
          <w:szCs w:val="22"/>
        </w:rPr>
        <w:t xml:space="preserve">Infrastructure Funding Statement (IFS) not later than 31st December each year. </w:t>
      </w:r>
    </w:p>
    <w:p w14:paraId="016A5305" w14:textId="33AA4421" w:rsidR="007D6597" w:rsidRPr="00181EED" w:rsidRDefault="00ED4C3A" w:rsidP="003B4F5A">
      <w:pPr>
        <w:jc w:val="both"/>
        <w:rPr>
          <w:rFonts w:ascii="Verdana" w:hAnsi="Verdana"/>
          <w:sz w:val="22"/>
          <w:szCs w:val="22"/>
        </w:rPr>
      </w:pPr>
      <w:r w:rsidRPr="00181EED">
        <w:rPr>
          <w:rFonts w:ascii="Verdana" w:hAnsi="Verdana"/>
          <w:sz w:val="22"/>
          <w:szCs w:val="22"/>
        </w:rPr>
        <w:t>1.2</w:t>
      </w:r>
      <w:r w:rsidRPr="00181EED">
        <w:rPr>
          <w:rFonts w:ascii="Verdana" w:hAnsi="Verdana"/>
          <w:sz w:val="22"/>
          <w:szCs w:val="22"/>
        </w:rPr>
        <w:tab/>
      </w:r>
      <w:r w:rsidR="00AE49BE" w:rsidRPr="00181EED">
        <w:rPr>
          <w:rFonts w:ascii="Verdana" w:hAnsi="Verdana"/>
          <w:sz w:val="22"/>
          <w:szCs w:val="22"/>
        </w:rPr>
        <w:t>Planning Obligations</w:t>
      </w:r>
      <w:r w:rsidR="006148A2">
        <w:rPr>
          <w:rFonts w:ascii="Verdana" w:hAnsi="Verdana"/>
          <w:sz w:val="22"/>
          <w:szCs w:val="22"/>
        </w:rPr>
        <w:t>,</w:t>
      </w:r>
      <w:r w:rsidR="00AE49BE" w:rsidRPr="00181EED">
        <w:rPr>
          <w:rFonts w:ascii="Verdana" w:hAnsi="Verdana"/>
          <w:sz w:val="22"/>
          <w:szCs w:val="22"/>
        </w:rPr>
        <w:t xml:space="preserve"> or S106 agreements are legal agreements entered into with </w:t>
      </w:r>
      <w:r w:rsidR="007D6597" w:rsidRPr="00181EED">
        <w:rPr>
          <w:rFonts w:ascii="Verdana" w:hAnsi="Verdana"/>
          <w:sz w:val="22"/>
          <w:szCs w:val="22"/>
        </w:rPr>
        <w:t xml:space="preserve">developers and landowners </w:t>
      </w:r>
      <w:r w:rsidR="00AE49BE" w:rsidRPr="00181EED">
        <w:rPr>
          <w:rFonts w:ascii="Verdana" w:hAnsi="Verdana"/>
          <w:sz w:val="22"/>
          <w:szCs w:val="22"/>
        </w:rPr>
        <w:t>to mitigate the impacts of a development proposal</w:t>
      </w:r>
      <w:r w:rsidR="0030725A">
        <w:rPr>
          <w:rFonts w:ascii="Verdana" w:hAnsi="Verdana"/>
          <w:sz w:val="22"/>
          <w:szCs w:val="22"/>
        </w:rPr>
        <w:t>; they are also called Developer Contributions</w:t>
      </w:r>
      <w:r w:rsidR="00AE49BE" w:rsidRPr="00181EED">
        <w:rPr>
          <w:rFonts w:ascii="Verdana" w:hAnsi="Verdana"/>
          <w:sz w:val="22"/>
          <w:szCs w:val="22"/>
        </w:rPr>
        <w:t xml:space="preserve">. Planning obligations can be agreed to mitigate the impact of unacceptable development to make it acceptable in planning terms. </w:t>
      </w:r>
      <w:r w:rsidR="007D6597" w:rsidRPr="00181EED">
        <w:rPr>
          <w:rFonts w:ascii="Verdana" w:hAnsi="Verdana"/>
          <w:sz w:val="22"/>
          <w:szCs w:val="22"/>
        </w:rPr>
        <w:t xml:space="preserve">However, </w:t>
      </w:r>
      <w:r w:rsidR="00B94C8A">
        <w:rPr>
          <w:rFonts w:ascii="Verdana" w:hAnsi="Verdana"/>
          <w:sz w:val="22"/>
          <w:szCs w:val="22"/>
        </w:rPr>
        <w:t>p</w:t>
      </w:r>
      <w:r w:rsidR="00AE49BE" w:rsidRPr="00181EED">
        <w:rPr>
          <w:rFonts w:ascii="Verdana" w:hAnsi="Verdana"/>
          <w:sz w:val="22"/>
          <w:szCs w:val="22"/>
        </w:rPr>
        <w:t xml:space="preserve">lanning obligations </w:t>
      </w:r>
      <w:r w:rsidR="00181EED" w:rsidRPr="00181EED">
        <w:rPr>
          <w:rFonts w:ascii="Verdana" w:hAnsi="Verdana"/>
          <w:sz w:val="22"/>
          <w:szCs w:val="22"/>
        </w:rPr>
        <w:t>must</w:t>
      </w:r>
      <w:r w:rsidR="00AE49BE" w:rsidRPr="00181EED">
        <w:rPr>
          <w:rFonts w:ascii="Verdana" w:hAnsi="Verdana"/>
          <w:sz w:val="22"/>
          <w:szCs w:val="22"/>
        </w:rPr>
        <w:t xml:space="preserve"> meet the following </w:t>
      </w:r>
      <w:r w:rsidR="007D6597" w:rsidRPr="00181EED">
        <w:rPr>
          <w:rFonts w:ascii="Verdana" w:hAnsi="Verdana"/>
          <w:sz w:val="22"/>
          <w:szCs w:val="22"/>
        </w:rPr>
        <w:t xml:space="preserve">three legal </w:t>
      </w:r>
      <w:r w:rsidR="00AE49BE" w:rsidRPr="00181EED">
        <w:rPr>
          <w:rFonts w:ascii="Verdana" w:hAnsi="Verdana"/>
          <w:sz w:val="22"/>
          <w:szCs w:val="22"/>
        </w:rPr>
        <w:t>tests if the</w:t>
      </w:r>
      <w:r w:rsidR="00801CED">
        <w:rPr>
          <w:rFonts w:ascii="Verdana" w:hAnsi="Verdana"/>
          <w:sz w:val="22"/>
          <w:szCs w:val="22"/>
        </w:rPr>
        <w:t>y</w:t>
      </w:r>
      <w:r w:rsidR="00AE49BE" w:rsidRPr="00181EED">
        <w:rPr>
          <w:rFonts w:ascii="Verdana" w:hAnsi="Verdana"/>
          <w:sz w:val="22"/>
          <w:szCs w:val="22"/>
        </w:rPr>
        <w:t xml:space="preserve"> are to constitute a reason to grant planning permission.</w:t>
      </w:r>
      <w:r w:rsidR="006148A2">
        <w:rPr>
          <w:rFonts w:ascii="Verdana" w:hAnsi="Verdana"/>
          <w:sz w:val="22"/>
          <w:szCs w:val="22"/>
        </w:rPr>
        <w:t xml:space="preserve"> They must be:</w:t>
      </w:r>
      <w:r w:rsidR="00AE49BE" w:rsidRPr="00181EED">
        <w:rPr>
          <w:rFonts w:ascii="Verdana" w:hAnsi="Verdana"/>
          <w:sz w:val="22"/>
          <w:szCs w:val="22"/>
        </w:rPr>
        <w:t xml:space="preserve"> </w:t>
      </w:r>
    </w:p>
    <w:p w14:paraId="4948A37A" w14:textId="0CF78914" w:rsidR="007D6597" w:rsidRPr="00181EED" w:rsidRDefault="00AE49BE" w:rsidP="003B4F5A">
      <w:pPr>
        <w:pStyle w:val="ListParagraph"/>
        <w:numPr>
          <w:ilvl w:val="0"/>
          <w:numId w:val="4"/>
        </w:numPr>
        <w:jc w:val="both"/>
        <w:rPr>
          <w:rFonts w:ascii="Verdana" w:hAnsi="Verdana"/>
        </w:rPr>
      </w:pPr>
      <w:r w:rsidRPr="00181EED">
        <w:rPr>
          <w:rFonts w:ascii="Verdana" w:hAnsi="Verdana"/>
        </w:rPr>
        <w:t>necessary to make the development acceptable in planning terms;</w:t>
      </w:r>
      <w:r w:rsidR="005F4893">
        <w:rPr>
          <w:rFonts w:ascii="Verdana" w:hAnsi="Verdana"/>
        </w:rPr>
        <w:t xml:space="preserve"> and</w:t>
      </w:r>
      <w:r w:rsidRPr="00181EED">
        <w:rPr>
          <w:rFonts w:ascii="Verdana" w:hAnsi="Verdana"/>
        </w:rPr>
        <w:t xml:space="preserve"> </w:t>
      </w:r>
    </w:p>
    <w:p w14:paraId="5B0134BF" w14:textId="5A840197" w:rsidR="007D6597" w:rsidRPr="00181EED" w:rsidRDefault="00AE49BE" w:rsidP="003B4F5A">
      <w:pPr>
        <w:pStyle w:val="ListParagraph"/>
        <w:numPr>
          <w:ilvl w:val="0"/>
          <w:numId w:val="4"/>
        </w:numPr>
        <w:jc w:val="both"/>
        <w:rPr>
          <w:rFonts w:ascii="Verdana" w:hAnsi="Verdana"/>
        </w:rPr>
      </w:pPr>
      <w:r w:rsidRPr="00181EED">
        <w:rPr>
          <w:rFonts w:ascii="Verdana" w:hAnsi="Verdana"/>
        </w:rPr>
        <w:t xml:space="preserve">directly related to the development; </w:t>
      </w:r>
      <w:r w:rsidR="005F4893">
        <w:rPr>
          <w:rFonts w:ascii="Verdana" w:hAnsi="Verdana"/>
        </w:rPr>
        <w:t>and</w:t>
      </w:r>
    </w:p>
    <w:p w14:paraId="47FBDA02" w14:textId="4855CACD" w:rsidR="007D6597" w:rsidRPr="00181EED" w:rsidRDefault="00AE49BE" w:rsidP="003B4F5A">
      <w:pPr>
        <w:pStyle w:val="ListParagraph"/>
        <w:numPr>
          <w:ilvl w:val="0"/>
          <w:numId w:val="4"/>
        </w:numPr>
        <w:jc w:val="both"/>
        <w:rPr>
          <w:rFonts w:ascii="Verdana" w:hAnsi="Verdana"/>
        </w:rPr>
      </w:pPr>
      <w:r w:rsidRPr="00181EED">
        <w:rPr>
          <w:rFonts w:ascii="Verdana" w:hAnsi="Verdana"/>
        </w:rPr>
        <w:t xml:space="preserve">fairly and reasonably related in scale and kind to the development. </w:t>
      </w:r>
    </w:p>
    <w:p w14:paraId="20D5D937" w14:textId="6DA7F7DA" w:rsidR="00FC7C25" w:rsidRPr="00181EED" w:rsidRDefault="00FC7C25" w:rsidP="003B4F5A">
      <w:pPr>
        <w:jc w:val="both"/>
        <w:rPr>
          <w:rFonts w:ascii="Verdana" w:hAnsi="Verdana"/>
          <w:sz w:val="22"/>
          <w:szCs w:val="22"/>
        </w:rPr>
      </w:pPr>
      <w:r w:rsidRPr="00181EED">
        <w:rPr>
          <w:rFonts w:ascii="Verdana" w:hAnsi="Verdana"/>
          <w:sz w:val="22"/>
          <w:szCs w:val="22"/>
        </w:rPr>
        <w:t>1.3</w:t>
      </w:r>
      <w:r w:rsidRPr="00181EED">
        <w:rPr>
          <w:rFonts w:ascii="Verdana" w:hAnsi="Verdana"/>
          <w:sz w:val="22"/>
          <w:szCs w:val="22"/>
        </w:rPr>
        <w:tab/>
        <w:t>L</w:t>
      </w:r>
      <w:r w:rsidR="009E72FF">
        <w:rPr>
          <w:rFonts w:ascii="Verdana" w:hAnsi="Verdana"/>
          <w:sz w:val="22"/>
          <w:szCs w:val="22"/>
        </w:rPr>
        <w:t>PAs</w:t>
      </w:r>
      <w:r w:rsidRPr="00181EED">
        <w:rPr>
          <w:rFonts w:ascii="Verdana" w:hAnsi="Verdana"/>
          <w:sz w:val="22"/>
          <w:szCs w:val="22"/>
        </w:rPr>
        <w:t xml:space="preserve"> can</w:t>
      </w:r>
      <w:r w:rsidR="00B94C8A">
        <w:rPr>
          <w:rFonts w:ascii="Verdana" w:hAnsi="Verdana"/>
          <w:sz w:val="22"/>
          <w:szCs w:val="22"/>
        </w:rPr>
        <w:t>, in turn,</w:t>
      </w:r>
      <w:r w:rsidRPr="00181EED" w:rsidDel="00B94C8A">
        <w:rPr>
          <w:rFonts w:ascii="Verdana" w:hAnsi="Verdana"/>
          <w:sz w:val="22"/>
          <w:szCs w:val="22"/>
        </w:rPr>
        <w:t xml:space="preserve"> </w:t>
      </w:r>
      <w:r w:rsidR="00CE3990" w:rsidRPr="00181EED">
        <w:rPr>
          <w:rFonts w:ascii="Verdana" w:hAnsi="Verdana"/>
          <w:sz w:val="22"/>
          <w:szCs w:val="22"/>
        </w:rPr>
        <w:t>decide</w:t>
      </w:r>
      <w:r w:rsidRPr="00181EED">
        <w:rPr>
          <w:rFonts w:ascii="Verdana" w:hAnsi="Verdana"/>
          <w:sz w:val="22"/>
          <w:szCs w:val="22"/>
        </w:rPr>
        <w:t xml:space="preserve"> </w:t>
      </w:r>
      <w:r w:rsidR="00B94C8A">
        <w:rPr>
          <w:rFonts w:ascii="Verdana" w:hAnsi="Verdana"/>
          <w:sz w:val="22"/>
          <w:szCs w:val="22"/>
        </w:rPr>
        <w:t xml:space="preserve">whether </w:t>
      </w:r>
      <w:r w:rsidRPr="00181EED">
        <w:rPr>
          <w:rFonts w:ascii="Verdana" w:hAnsi="Verdana"/>
          <w:sz w:val="22"/>
          <w:szCs w:val="22"/>
        </w:rPr>
        <w:t>to set a Community In</w:t>
      </w:r>
      <w:r w:rsidR="00676CED" w:rsidRPr="00181EED">
        <w:rPr>
          <w:rFonts w:ascii="Verdana" w:hAnsi="Verdana"/>
          <w:sz w:val="22"/>
          <w:szCs w:val="22"/>
        </w:rPr>
        <w:t>frastructure Levy (CIL) for their area</w:t>
      </w:r>
      <w:r w:rsidR="00B94C8A">
        <w:rPr>
          <w:rFonts w:ascii="Verdana" w:hAnsi="Verdana"/>
          <w:sz w:val="22"/>
          <w:szCs w:val="22"/>
        </w:rPr>
        <w:t>,</w:t>
      </w:r>
      <w:r w:rsidR="00676CED" w:rsidRPr="00181EED">
        <w:rPr>
          <w:rFonts w:ascii="Verdana" w:hAnsi="Verdana"/>
          <w:sz w:val="22"/>
          <w:szCs w:val="22"/>
        </w:rPr>
        <w:t xml:space="preserve"> which is a </w:t>
      </w:r>
      <w:proofErr w:type="gramStart"/>
      <w:r w:rsidR="00676CED" w:rsidRPr="00181EED">
        <w:rPr>
          <w:rFonts w:ascii="Verdana" w:hAnsi="Verdana"/>
          <w:sz w:val="22"/>
          <w:szCs w:val="22"/>
        </w:rPr>
        <w:t>fixed</w:t>
      </w:r>
      <w:r w:rsidR="009E72FF">
        <w:rPr>
          <w:rFonts w:ascii="Verdana" w:hAnsi="Verdana"/>
          <w:sz w:val="22"/>
          <w:szCs w:val="22"/>
        </w:rPr>
        <w:t>-</w:t>
      </w:r>
      <w:r w:rsidR="00676CED" w:rsidRPr="00181EED">
        <w:rPr>
          <w:rFonts w:ascii="Verdana" w:hAnsi="Verdana"/>
          <w:sz w:val="22"/>
          <w:szCs w:val="22"/>
        </w:rPr>
        <w:t>charge</w:t>
      </w:r>
      <w:proofErr w:type="gramEnd"/>
      <w:r w:rsidR="00676CED" w:rsidRPr="00181EED">
        <w:rPr>
          <w:rFonts w:ascii="Verdana" w:hAnsi="Verdana"/>
          <w:sz w:val="22"/>
          <w:szCs w:val="22"/>
        </w:rPr>
        <w:t xml:space="preserve"> levied on </w:t>
      </w:r>
      <w:r w:rsidR="004723EE">
        <w:rPr>
          <w:rFonts w:ascii="Verdana" w:hAnsi="Verdana"/>
          <w:sz w:val="22"/>
          <w:szCs w:val="22"/>
        </w:rPr>
        <w:t xml:space="preserve">most </w:t>
      </w:r>
      <w:r w:rsidR="00676CED" w:rsidRPr="00181EED">
        <w:rPr>
          <w:rFonts w:ascii="Verdana" w:hAnsi="Verdana"/>
          <w:sz w:val="22"/>
          <w:szCs w:val="22"/>
        </w:rPr>
        <w:t xml:space="preserve">new development to </w:t>
      </w:r>
      <w:r w:rsidR="00B94C8A">
        <w:rPr>
          <w:rFonts w:ascii="Verdana" w:hAnsi="Verdana"/>
          <w:sz w:val="22"/>
          <w:szCs w:val="22"/>
        </w:rPr>
        <w:t xml:space="preserve">help </w:t>
      </w:r>
      <w:r w:rsidR="00676CED" w:rsidRPr="00181EED">
        <w:rPr>
          <w:rFonts w:ascii="Verdana" w:hAnsi="Verdana"/>
          <w:sz w:val="22"/>
          <w:szCs w:val="22"/>
        </w:rPr>
        <w:t xml:space="preserve">fund </w:t>
      </w:r>
      <w:r w:rsidR="004723EE">
        <w:rPr>
          <w:rFonts w:ascii="Verdana" w:hAnsi="Verdana"/>
          <w:sz w:val="22"/>
          <w:szCs w:val="22"/>
        </w:rPr>
        <w:t xml:space="preserve">identified </w:t>
      </w:r>
      <w:r w:rsidR="00A36CA6" w:rsidRPr="00181EED">
        <w:rPr>
          <w:rFonts w:ascii="Verdana" w:hAnsi="Verdana"/>
          <w:sz w:val="22"/>
          <w:szCs w:val="22"/>
        </w:rPr>
        <w:t>infrastructure</w:t>
      </w:r>
      <w:r w:rsidR="004723EE">
        <w:rPr>
          <w:rFonts w:ascii="Verdana" w:hAnsi="Verdana"/>
          <w:sz w:val="22"/>
          <w:szCs w:val="22"/>
        </w:rPr>
        <w:t xml:space="preserve"> requirements</w:t>
      </w:r>
      <w:r w:rsidR="00A36CA6" w:rsidRPr="00181EED">
        <w:rPr>
          <w:rFonts w:ascii="Verdana" w:hAnsi="Verdana"/>
          <w:sz w:val="22"/>
          <w:szCs w:val="22"/>
        </w:rPr>
        <w:t xml:space="preserve">.  At the present time Maldon District Council does not operate a CIL </w:t>
      </w:r>
      <w:r w:rsidR="00B94C8A">
        <w:rPr>
          <w:rFonts w:ascii="Verdana" w:hAnsi="Verdana"/>
          <w:sz w:val="22"/>
          <w:szCs w:val="22"/>
        </w:rPr>
        <w:t>C</w:t>
      </w:r>
      <w:r w:rsidR="00A36CA6" w:rsidRPr="00181EED">
        <w:rPr>
          <w:rFonts w:ascii="Verdana" w:hAnsi="Verdana"/>
          <w:sz w:val="22"/>
          <w:szCs w:val="22"/>
        </w:rPr>
        <w:t xml:space="preserve">harging </w:t>
      </w:r>
      <w:r w:rsidR="00B94C8A">
        <w:rPr>
          <w:rFonts w:ascii="Verdana" w:hAnsi="Verdana"/>
          <w:sz w:val="22"/>
          <w:szCs w:val="22"/>
        </w:rPr>
        <w:t>S</w:t>
      </w:r>
      <w:r w:rsidR="00A36CA6" w:rsidRPr="00181EED">
        <w:rPr>
          <w:rFonts w:ascii="Verdana" w:hAnsi="Verdana"/>
          <w:sz w:val="22"/>
          <w:szCs w:val="22"/>
        </w:rPr>
        <w:t>chedule</w:t>
      </w:r>
      <w:r w:rsidR="00683491">
        <w:rPr>
          <w:rFonts w:ascii="Verdana" w:hAnsi="Verdana"/>
          <w:sz w:val="22"/>
          <w:szCs w:val="22"/>
        </w:rPr>
        <w:t>,</w:t>
      </w:r>
      <w:r w:rsidR="00A36CA6" w:rsidRPr="00181EED">
        <w:rPr>
          <w:rFonts w:ascii="Verdana" w:hAnsi="Verdana"/>
          <w:sz w:val="22"/>
          <w:szCs w:val="22"/>
        </w:rPr>
        <w:t xml:space="preserve"> so the IFS</w:t>
      </w:r>
      <w:r w:rsidR="00862FD0" w:rsidRPr="00181EED">
        <w:rPr>
          <w:rFonts w:ascii="Verdana" w:hAnsi="Verdana"/>
          <w:sz w:val="22"/>
          <w:szCs w:val="22"/>
        </w:rPr>
        <w:t xml:space="preserve"> will only be reporting on S106 obligations.</w:t>
      </w:r>
    </w:p>
    <w:p w14:paraId="364DA719" w14:textId="5FDCED1D" w:rsidR="00C83712" w:rsidRPr="00181EED" w:rsidRDefault="00543076" w:rsidP="003B4F5A">
      <w:pPr>
        <w:jc w:val="both"/>
        <w:rPr>
          <w:rFonts w:ascii="Verdana" w:hAnsi="Verdana"/>
          <w:sz w:val="22"/>
          <w:szCs w:val="22"/>
        </w:rPr>
      </w:pPr>
      <w:r w:rsidRPr="00181EED">
        <w:rPr>
          <w:rFonts w:ascii="Verdana" w:hAnsi="Verdana"/>
          <w:sz w:val="22"/>
          <w:szCs w:val="22"/>
        </w:rPr>
        <w:t xml:space="preserve">1.4 </w:t>
      </w:r>
      <w:r w:rsidRPr="00181EED">
        <w:rPr>
          <w:rFonts w:ascii="Verdana" w:hAnsi="Verdana"/>
          <w:sz w:val="22"/>
          <w:szCs w:val="22"/>
        </w:rPr>
        <w:tab/>
        <w:t>I</w:t>
      </w:r>
      <w:r w:rsidR="00C83712" w:rsidRPr="00181EED">
        <w:rPr>
          <w:rFonts w:ascii="Verdana" w:hAnsi="Verdana"/>
          <w:sz w:val="22"/>
          <w:szCs w:val="22"/>
        </w:rPr>
        <w:t>ncome from developer contributions is used to help fund the infrastructure needed alongside new development and this helps to maximise the benefits and opportunities from growth in the District.  Infrastructure</w:t>
      </w:r>
      <w:r w:rsidR="00C83712" w:rsidRPr="00181EED" w:rsidDel="005D2BB9">
        <w:rPr>
          <w:rFonts w:ascii="Verdana" w:hAnsi="Verdana"/>
          <w:sz w:val="22"/>
          <w:szCs w:val="22"/>
        </w:rPr>
        <w:t xml:space="preserve"> </w:t>
      </w:r>
      <w:r w:rsidR="00C83712" w:rsidRPr="00181EED">
        <w:rPr>
          <w:rFonts w:ascii="Verdana" w:hAnsi="Verdana"/>
          <w:sz w:val="22"/>
          <w:szCs w:val="22"/>
        </w:rPr>
        <w:t>include</w:t>
      </w:r>
      <w:r w:rsidR="005D2BB9">
        <w:rPr>
          <w:rFonts w:ascii="Verdana" w:hAnsi="Verdana"/>
          <w:sz w:val="22"/>
          <w:szCs w:val="22"/>
        </w:rPr>
        <w:t>s</w:t>
      </w:r>
      <w:r w:rsidR="00C83712" w:rsidRPr="00181EED">
        <w:rPr>
          <w:rFonts w:ascii="Verdana" w:hAnsi="Verdana"/>
          <w:sz w:val="22"/>
          <w:szCs w:val="22"/>
        </w:rPr>
        <w:t xml:space="preserve"> the delivery of affordable homes and other community facilities such as play parks, open </w:t>
      </w:r>
      <w:r w:rsidR="00B62BE5" w:rsidRPr="00181EED">
        <w:rPr>
          <w:rFonts w:ascii="Verdana" w:hAnsi="Verdana"/>
          <w:sz w:val="22"/>
          <w:szCs w:val="22"/>
        </w:rPr>
        <w:t>space</w:t>
      </w:r>
      <w:r w:rsidR="00C83712" w:rsidRPr="00181EED">
        <w:rPr>
          <w:rFonts w:ascii="Verdana" w:hAnsi="Verdana"/>
          <w:sz w:val="22"/>
          <w:szCs w:val="22"/>
        </w:rPr>
        <w:t xml:space="preserve"> and youth facilities. The district also negotiates in conjunction with the </w:t>
      </w:r>
      <w:r w:rsidR="002B57C3">
        <w:rPr>
          <w:rFonts w:ascii="Verdana" w:hAnsi="Verdana"/>
          <w:sz w:val="22"/>
          <w:szCs w:val="22"/>
        </w:rPr>
        <w:t xml:space="preserve">Mid Essex </w:t>
      </w:r>
      <w:r w:rsidR="00C83712" w:rsidRPr="00181EED">
        <w:rPr>
          <w:rFonts w:ascii="Verdana" w:hAnsi="Verdana"/>
          <w:sz w:val="22"/>
          <w:szCs w:val="22"/>
        </w:rPr>
        <w:t>NHS</w:t>
      </w:r>
      <w:r w:rsidR="002B57C3">
        <w:rPr>
          <w:rFonts w:ascii="Verdana" w:hAnsi="Verdana"/>
          <w:sz w:val="22"/>
          <w:szCs w:val="22"/>
        </w:rPr>
        <w:t xml:space="preserve"> </w:t>
      </w:r>
      <w:r w:rsidR="004723EE">
        <w:rPr>
          <w:rFonts w:ascii="Verdana" w:hAnsi="Verdana"/>
          <w:sz w:val="22"/>
          <w:szCs w:val="22"/>
        </w:rPr>
        <w:t xml:space="preserve">Integrated Care Partnership (formerly the Mid Essex NHS </w:t>
      </w:r>
      <w:r w:rsidR="002B57C3">
        <w:rPr>
          <w:rFonts w:ascii="Verdana" w:hAnsi="Verdana"/>
          <w:sz w:val="22"/>
          <w:szCs w:val="22"/>
        </w:rPr>
        <w:t>Clinical Commission</w:t>
      </w:r>
      <w:r w:rsidR="00D85E02">
        <w:rPr>
          <w:rFonts w:ascii="Verdana" w:hAnsi="Verdana"/>
          <w:sz w:val="22"/>
          <w:szCs w:val="22"/>
        </w:rPr>
        <w:t>ing</w:t>
      </w:r>
      <w:r w:rsidR="002B57C3">
        <w:rPr>
          <w:rFonts w:ascii="Verdana" w:hAnsi="Verdana"/>
          <w:sz w:val="22"/>
          <w:szCs w:val="22"/>
        </w:rPr>
        <w:t xml:space="preserve"> Group</w:t>
      </w:r>
      <w:r w:rsidR="004723EE">
        <w:rPr>
          <w:rFonts w:ascii="Verdana" w:hAnsi="Verdana"/>
          <w:sz w:val="22"/>
          <w:szCs w:val="22"/>
        </w:rPr>
        <w:t>)</w:t>
      </w:r>
      <w:r w:rsidR="00C83712" w:rsidRPr="00181EED">
        <w:rPr>
          <w:rFonts w:ascii="Verdana" w:hAnsi="Verdana"/>
          <w:sz w:val="22"/>
          <w:szCs w:val="22"/>
        </w:rPr>
        <w:t xml:space="preserve"> to achieve contributions </w:t>
      </w:r>
      <w:r w:rsidR="002B57C3">
        <w:rPr>
          <w:rFonts w:ascii="Verdana" w:hAnsi="Verdana"/>
          <w:sz w:val="22"/>
          <w:szCs w:val="22"/>
        </w:rPr>
        <w:t xml:space="preserve">towards </w:t>
      </w:r>
      <w:r w:rsidR="00C83712" w:rsidRPr="00181EED">
        <w:rPr>
          <w:rFonts w:ascii="Verdana" w:hAnsi="Verdana"/>
          <w:sz w:val="22"/>
          <w:szCs w:val="22"/>
        </w:rPr>
        <w:t xml:space="preserve">health infrastructure improvements. </w:t>
      </w:r>
    </w:p>
    <w:p w14:paraId="75A8F64F" w14:textId="5FDC5E4E" w:rsidR="00C83712" w:rsidRPr="00181EED" w:rsidRDefault="00543076" w:rsidP="003B4F5A">
      <w:pPr>
        <w:jc w:val="both"/>
        <w:rPr>
          <w:rFonts w:ascii="Verdana" w:hAnsi="Verdana"/>
          <w:sz w:val="22"/>
          <w:szCs w:val="22"/>
        </w:rPr>
      </w:pPr>
      <w:r w:rsidRPr="00181EED">
        <w:rPr>
          <w:rFonts w:ascii="Verdana" w:hAnsi="Verdana"/>
          <w:sz w:val="22"/>
          <w:szCs w:val="22"/>
        </w:rPr>
        <w:t>1.5</w:t>
      </w:r>
      <w:r w:rsidRPr="00181EED">
        <w:rPr>
          <w:rFonts w:ascii="Verdana" w:hAnsi="Verdana"/>
          <w:sz w:val="22"/>
          <w:szCs w:val="22"/>
        </w:rPr>
        <w:tab/>
      </w:r>
      <w:r w:rsidR="00C83712" w:rsidRPr="00181EED">
        <w:rPr>
          <w:rFonts w:ascii="Verdana" w:hAnsi="Verdana"/>
          <w:sz w:val="22"/>
          <w:szCs w:val="22"/>
        </w:rPr>
        <w:t xml:space="preserve">Essex County Council </w:t>
      </w:r>
      <w:r w:rsidR="004723EE">
        <w:rPr>
          <w:rFonts w:ascii="Verdana" w:hAnsi="Verdana"/>
          <w:sz w:val="22"/>
          <w:szCs w:val="22"/>
        </w:rPr>
        <w:t>is</w:t>
      </w:r>
      <w:r w:rsidR="00C83712" w:rsidRPr="00181EED">
        <w:rPr>
          <w:rFonts w:ascii="Verdana" w:hAnsi="Verdana"/>
          <w:sz w:val="22"/>
          <w:szCs w:val="22"/>
        </w:rPr>
        <w:t xml:space="preserve"> responsible for collecting </w:t>
      </w:r>
      <w:r w:rsidR="00673FD0">
        <w:rPr>
          <w:rFonts w:ascii="Verdana" w:hAnsi="Verdana"/>
          <w:sz w:val="22"/>
          <w:szCs w:val="22"/>
        </w:rPr>
        <w:t>planning obligations</w:t>
      </w:r>
      <w:r w:rsidR="00C83712" w:rsidRPr="00181EED">
        <w:rPr>
          <w:rFonts w:ascii="Verdana" w:hAnsi="Verdana"/>
          <w:sz w:val="22"/>
          <w:szCs w:val="22"/>
        </w:rPr>
        <w:t xml:space="preserve"> for some </w:t>
      </w:r>
      <w:r w:rsidR="00CE3990" w:rsidRPr="00181EED">
        <w:rPr>
          <w:rFonts w:ascii="Verdana" w:hAnsi="Verdana"/>
          <w:sz w:val="22"/>
          <w:szCs w:val="22"/>
        </w:rPr>
        <w:t xml:space="preserve">of the other </w:t>
      </w:r>
      <w:r w:rsidR="00C83712" w:rsidRPr="00181EED">
        <w:rPr>
          <w:rFonts w:ascii="Verdana" w:hAnsi="Verdana"/>
          <w:sz w:val="22"/>
          <w:szCs w:val="22"/>
        </w:rPr>
        <w:t xml:space="preserve">elements of the District’s infrastructure </w:t>
      </w:r>
      <w:r w:rsidR="004723EE">
        <w:rPr>
          <w:rFonts w:ascii="Verdana" w:hAnsi="Verdana"/>
          <w:sz w:val="22"/>
          <w:szCs w:val="22"/>
        </w:rPr>
        <w:t xml:space="preserve">where it is legally responsible for their delivery </w:t>
      </w:r>
      <w:r w:rsidR="00C83712" w:rsidRPr="00181EED">
        <w:rPr>
          <w:rFonts w:ascii="Verdana" w:hAnsi="Verdana"/>
          <w:sz w:val="22"/>
          <w:szCs w:val="22"/>
        </w:rPr>
        <w:t>such as:</w:t>
      </w:r>
    </w:p>
    <w:p w14:paraId="6DFE3C9E" w14:textId="77777777" w:rsidR="00C83712" w:rsidRPr="00181EED" w:rsidRDefault="00C83712" w:rsidP="003B4F5A">
      <w:pPr>
        <w:pStyle w:val="ListParagraph"/>
        <w:numPr>
          <w:ilvl w:val="0"/>
          <w:numId w:val="5"/>
        </w:numPr>
        <w:jc w:val="both"/>
        <w:rPr>
          <w:rFonts w:ascii="Verdana" w:hAnsi="Verdana"/>
        </w:rPr>
      </w:pPr>
      <w:r w:rsidRPr="00181EED">
        <w:rPr>
          <w:rFonts w:ascii="Verdana" w:hAnsi="Verdana"/>
        </w:rPr>
        <w:t>Early learning and primary schools</w:t>
      </w:r>
    </w:p>
    <w:p w14:paraId="4D68666B" w14:textId="77777777" w:rsidR="00C83712" w:rsidRPr="00181EED" w:rsidRDefault="00C83712" w:rsidP="003B4F5A">
      <w:pPr>
        <w:pStyle w:val="ListParagraph"/>
        <w:numPr>
          <w:ilvl w:val="0"/>
          <w:numId w:val="5"/>
        </w:numPr>
        <w:jc w:val="both"/>
        <w:rPr>
          <w:rFonts w:ascii="Verdana" w:hAnsi="Verdana"/>
        </w:rPr>
      </w:pPr>
      <w:r w:rsidRPr="00181EED">
        <w:rPr>
          <w:rFonts w:ascii="Verdana" w:hAnsi="Verdana"/>
        </w:rPr>
        <w:t>Secondary schools</w:t>
      </w:r>
    </w:p>
    <w:p w14:paraId="392DFBCD" w14:textId="4D73C542" w:rsidR="00C83712" w:rsidRPr="00181EED" w:rsidRDefault="00C83712" w:rsidP="003B4F5A">
      <w:pPr>
        <w:pStyle w:val="ListParagraph"/>
        <w:numPr>
          <w:ilvl w:val="0"/>
          <w:numId w:val="5"/>
        </w:numPr>
        <w:jc w:val="both"/>
        <w:rPr>
          <w:rFonts w:ascii="Verdana" w:hAnsi="Verdana"/>
        </w:rPr>
      </w:pPr>
      <w:r w:rsidRPr="00181EED">
        <w:rPr>
          <w:rFonts w:ascii="Verdana" w:hAnsi="Verdana"/>
        </w:rPr>
        <w:t>Highway improvements</w:t>
      </w:r>
      <w:r w:rsidR="00673FD0">
        <w:rPr>
          <w:rStyle w:val="FootnoteReference"/>
          <w:rFonts w:ascii="Verdana" w:hAnsi="Verdana"/>
        </w:rPr>
        <w:footnoteReference w:id="2"/>
      </w:r>
    </w:p>
    <w:p w14:paraId="3421B4A6" w14:textId="77777777" w:rsidR="00C83712" w:rsidRPr="00181EED" w:rsidRDefault="00C83712" w:rsidP="003B4F5A">
      <w:pPr>
        <w:pStyle w:val="ListParagraph"/>
        <w:numPr>
          <w:ilvl w:val="0"/>
          <w:numId w:val="5"/>
        </w:numPr>
        <w:jc w:val="both"/>
        <w:rPr>
          <w:rFonts w:ascii="Verdana" w:hAnsi="Verdana"/>
        </w:rPr>
      </w:pPr>
      <w:r w:rsidRPr="00181EED">
        <w:rPr>
          <w:rFonts w:ascii="Verdana" w:hAnsi="Verdana"/>
        </w:rPr>
        <w:t xml:space="preserve">Transport planning </w:t>
      </w:r>
    </w:p>
    <w:p w14:paraId="0C1C2198" w14:textId="5982DA8B" w:rsidR="00C83712" w:rsidRPr="00181EED" w:rsidRDefault="00C83712" w:rsidP="003B4F5A">
      <w:pPr>
        <w:pStyle w:val="ListParagraph"/>
        <w:numPr>
          <w:ilvl w:val="0"/>
          <w:numId w:val="5"/>
        </w:numPr>
        <w:jc w:val="both"/>
        <w:rPr>
          <w:rFonts w:ascii="Verdana" w:hAnsi="Verdana"/>
        </w:rPr>
      </w:pPr>
      <w:r w:rsidRPr="00181EED">
        <w:rPr>
          <w:rFonts w:ascii="Verdana" w:hAnsi="Verdana"/>
        </w:rPr>
        <w:t xml:space="preserve">Improvements to cycling and walking routes – </w:t>
      </w:r>
      <w:r w:rsidR="00E80D9A">
        <w:rPr>
          <w:rFonts w:ascii="Verdana" w:hAnsi="Verdana"/>
        </w:rPr>
        <w:t xml:space="preserve">sometimes </w:t>
      </w:r>
      <w:r w:rsidRPr="00181EED">
        <w:rPr>
          <w:rFonts w:ascii="Verdana" w:hAnsi="Verdana"/>
        </w:rPr>
        <w:t>shared with Maldon District Council</w:t>
      </w:r>
    </w:p>
    <w:p w14:paraId="5376A36C" w14:textId="20AFBC52" w:rsidR="00C83712" w:rsidRPr="00181EED" w:rsidRDefault="001C3B47" w:rsidP="003B4F5A">
      <w:pPr>
        <w:jc w:val="both"/>
        <w:rPr>
          <w:rFonts w:ascii="Verdana" w:hAnsi="Verdana"/>
          <w:sz w:val="22"/>
          <w:szCs w:val="22"/>
        </w:rPr>
      </w:pPr>
      <w:r>
        <w:rPr>
          <w:rFonts w:ascii="Verdana" w:hAnsi="Verdana"/>
          <w:sz w:val="22"/>
          <w:szCs w:val="22"/>
        </w:rPr>
        <w:t xml:space="preserve">Consequently, </w:t>
      </w:r>
      <w:r w:rsidR="00C83712" w:rsidRPr="00181EED">
        <w:rPr>
          <w:rFonts w:ascii="Verdana" w:hAnsi="Verdana"/>
          <w:sz w:val="22"/>
          <w:szCs w:val="22"/>
        </w:rPr>
        <w:t xml:space="preserve">Essex County Council </w:t>
      </w:r>
      <w:r>
        <w:rPr>
          <w:rFonts w:ascii="Verdana" w:hAnsi="Verdana"/>
          <w:sz w:val="22"/>
          <w:szCs w:val="22"/>
        </w:rPr>
        <w:t xml:space="preserve">is </w:t>
      </w:r>
      <w:r w:rsidR="00CE3990" w:rsidRPr="00181EED">
        <w:rPr>
          <w:rFonts w:ascii="Verdana" w:hAnsi="Verdana"/>
          <w:sz w:val="22"/>
          <w:szCs w:val="22"/>
        </w:rPr>
        <w:t xml:space="preserve">responsible for producing </w:t>
      </w:r>
      <w:r>
        <w:rPr>
          <w:rFonts w:ascii="Verdana" w:hAnsi="Verdana"/>
          <w:sz w:val="22"/>
          <w:szCs w:val="22"/>
        </w:rPr>
        <w:t xml:space="preserve">its </w:t>
      </w:r>
      <w:r w:rsidR="00CE3990" w:rsidRPr="00181EED">
        <w:rPr>
          <w:rFonts w:ascii="Verdana" w:hAnsi="Verdana"/>
          <w:sz w:val="22"/>
          <w:szCs w:val="22"/>
        </w:rPr>
        <w:t xml:space="preserve">own </w:t>
      </w:r>
      <w:r w:rsidR="00C83712" w:rsidRPr="00181EED">
        <w:rPr>
          <w:rFonts w:ascii="Verdana" w:hAnsi="Verdana"/>
          <w:sz w:val="22"/>
          <w:szCs w:val="22"/>
        </w:rPr>
        <w:t>I</w:t>
      </w:r>
      <w:r>
        <w:rPr>
          <w:rFonts w:ascii="Verdana" w:hAnsi="Verdana"/>
          <w:sz w:val="22"/>
          <w:szCs w:val="22"/>
        </w:rPr>
        <w:t>FS</w:t>
      </w:r>
      <w:r w:rsidR="00E80D9A">
        <w:rPr>
          <w:rFonts w:ascii="Verdana" w:hAnsi="Verdana"/>
          <w:sz w:val="22"/>
          <w:szCs w:val="22"/>
        </w:rPr>
        <w:t xml:space="preserve"> for anything which </w:t>
      </w:r>
      <w:r>
        <w:rPr>
          <w:rFonts w:ascii="Verdana" w:hAnsi="Verdana"/>
          <w:sz w:val="22"/>
          <w:szCs w:val="22"/>
        </w:rPr>
        <w:t xml:space="preserve">it </w:t>
      </w:r>
      <w:r w:rsidR="00E80D9A">
        <w:rPr>
          <w:rFonts w:ascii="Verdana" w:hAnsi="Verdana"/>
          <w:sz w:val="22"/>
          <w:szCs w:val="22"/>
        </w:rPr>
        <w:t>collect</w:t>
      </w:r>
      <w:r>
        <w:rPr>
          <w:rFonts w:ascii="Verdana" w:hAnsi="Verdana"/>
          <w:sz w:val="22"/>
          <w:szCs w:val="22"/>
        </w:rPr>
        <w:t>s</w:t>
      </w:r>
      <w:r w:rsidR="00E80D9A">
        <w:rPr>
          <w:rFonts w:ascii="Verdana" w:hAnsi="Verdana"/>
          <w:sz w:val="22"/>
          <w:szCs w:val="22"/>
        </w:rPr>
        <w:t xml:space="preserve"> </w:t>
      </w:r>
      <w:r w:rsidR="00F372DE">
        <w:rPr>
          <w:rFonts w:ascii="Verdana" w:hAnsi="Verdana"/>
          <w:sz w:val="22"/>
          <w:szCs w:val="22"/>
        </w:rPr>
        <w:t xml:space="preserve">funding for </w:t>
      </w:r>
      <w:r w:rsidR="00E80D9A">
        <w:rPr>
          <w:rFonts w:ascii="Verdana" w:hAnsi="Verdana"/>
          <w:sz w:val="22"/>
          <w:szCs w:val="22"/>
        </w:rPr>
        <w:t>and spend</w:t>
      </w:r>
      <w:r w:rsidR="00F372DE">
        <w:rPr>
          <w:rFonts w:ascii="Verdana" w:hAnsi="Verdana"/>
          <w:sz w:val="22"/>
          <w:szCs w:val="22"/>
        </w:rPr>
        <w:t>s</w:t>
      </w:r>
      <w:r w:rsidR="00E80D9A">
        <w:rPr>
          <w:rFonts w:ascii="Verdana" w:hAnsi="Verdana"/>
          <w:sz w:val="22"/>
          <w:szCs w:val="22"/>
        </w:rPr>
        <w:t xml:space="preserve"> directly</w:t>
      </w:r>
      <w:r w:rsidR="00140976">
        <w:rPr>
          <w:rStyle w:val="FootnoteReference"/>
          <w:rFonts w:ascii="Verdana" w:hAnsi="Verdana"/>
          <w:sz w:val="22"/>
          <w:szCs w:val="22"/>
        </w:rPr>
        <w:footnoteReference w:id="3"/>
      </w:r>
      <w:r w:rsidR="00C83712" w:rsidRPr="00181EED">
        <w:rPr>
          <w:rFonts w:ascii="Verdana" w:hAnsi="Verdana"/>
          <w:sz w:val="22"/>
          <w:szCs w:val="22"/>
        </w:rPr>
        <w:t>.</w:t>
      </w:r>
      <w:r w:rsidR="005F14CE">
        <w:rPr>
          <w:rFonts w:ascii="Verdana" w:hAnsi="Verdana"/>
          <w:sz w:val="22"/>
          <w:szCs w:val="22"/>
        </w:rPr>
        <w:t xml:space="preserve">  </w:t>
      </w:r>
    </w:p>
    <w:p w14:paraId="709B7CFD" w14:textId="3D598626" w:rsidR="00346DC1" w:rsidRPr="00181EED" w:rsidRDefault="00346DC1" w:rsidP="003B4F5A">
      <w:pPr>
        <w:jc w:val="both"/>
        <w:rPr>
          <w:rFonts w:ascii="Verdana" w:hAnsi="Verdana"/>
          <w:sz w:val="22"/>
          <w:szCs w:val="22"/>
        </w:rPr>
      </w:pPr>
      <w:r>
        <w:rPr>
          <w:rFonts w:ascii="Verdana" w:hAnsi="Verdana"/>
          <w:sz w:val="22"/>
          <w:szCs w:val="22"/>
        </w:rPr>
        <w:t>1.6</w:t>
      </w:r>
      <w:r>
        <w:rPr>
          <w:rFonts w:ascii="Verdana" w:hAnsi="Verdana"/>
          <w:sz w:val="22"/>
          <w:szCs w:val="22"/>
        </w:rPr>
        <w:tab/>
      </w:r>
      <w:r w:rsidR="00725293">
        <w:rPr>
          <w:rFonts w:ascii="Verdana" w:hAnsi="Verdana"/>
          <w:sz w:val="22"/>
          <w:szCs w:val="22"/>
        </w:rPr>
        <w:t>For complet</w:t>
      </w:r>
      <w:r w:rsidR="00F0586E">
        <w:rPr>
          <w:rFonts w:ascii="Verdana" w:hAnsi="Verdana"/>
          <w:sz w:val="22"/>
          <w:szCs w:val="22"/>
        </w:rPr>
        <w:t>eness</w:t>
      </w:r>
      <w:r w:rsidR="00725293">
        <w:rPr>
          <w:rFonts w:ascii="Verdana" w:hAnsi="Verdana"/>
          <w:sz w:val="22"/>
          <w:szCs w:val="22"/>
        </w:rPr>
        <w:t>, s</w:t>
      </w:r>
      <w:r>
        <w:rPr>
          <w:rFonts w:ascii="Verdana" w:hAnsi="Verdana"/>
          <w:sz w:val="22"/>
          <w:szCs w:val="22"/>
        </w:rPr>
        <w:t xml:space="preserve">et out at </w:t>
      </w:r>
      <w:r w:rsidRPr="00F0586E">
        <w:rPr>
          <w:rFonts w:ascii="Verdana" w:hAnsi="Verdana"/>
          <w:b/>
          <w:bCs/>
          <w:sz w:val="22"/>
          <w:szCs w:val="22"/>
        </w:rPr>
        <w:t>Appendix B</w:t>
      </w:r>
      <w:r w:rsidR="00725293" w:rsidRPr="00F0586E">
        <w:rPr>
          <w:rFonts w:ascii="Verdana" w:hAnsi="Verdana"/>
          <w:sz w:val="22"/>
          <w:szCs w:val="22"/>
        </w:rPr>
        <w:t>,</w:t>
      </w:r>
      <w:r>
        <w:rPr>
          <w:rFonts w:ascii="Verdana" w:hAnsi="Verdana"/>
          <w:sz w:val="22"/>
          <w:szCs w:val="22"/>
        </w:rPr>
        <w:t xml:space="preserve"> </w:t>
      </w:r>
      <w:r w:rsidR="00DD47BF">
        <w:rPr>
          <w:rFonts w:ascii="Verdana" w:hAnsi="Verdana"/>
          <w:sz w:val="22"/>
          <w:szCs w:val="22"/>
        </w:rPr>
        <w:t xml:space="preserve">are details of all the S106 agreements </w:t>
      </w:r>
      <w:r w:rsidR="004B2505">
        <w:rPr>
          <w:rFonts w:ascii="Verdana" w:hAnsi="Verdana"/>
          <w:sz w:val="22"/>
          <w:szCs w:val="22"/>
        </w:rPr>
        <w:t>relating</w:t>
      </w:r>
      <w:r w:rsidR="00DD47BF">
        <w:rPr>
          <w:rFonts w:ascii="Verdana" w:hAnsi="Verdana"/>
          <w:sz w:val="22"/>
          <w:szCs w:val="22"/>
        </w:rPr>
        <w:t xml:space="preserve"> to Maldon District.</w:t>
      </w:r>
    </w:p>
    <w:p w14:paraId="07840651" w14:textId="0F04433C" w:rsidR="000D31FB" w:rsidRPr="00181EED" w:rsidRDefault="000D31FB" w:rsidP="00181EED"/>
    <w:p w14:paraId="25C74B96" w14:textId="346AF0D3" w:rsidR="000D31FB" w:rsidRPr="00181EED" w:rsidRDefault="000D31FB" w:rsidP="009E6719">
      <w:pPr>
        <w:pStyle w:val="Heading1"/>
      </w:pPr>
      <w:bookmarkStart w:id="2" w:name="_Toc86419381"/>
      <w:bookmarkStart w:id="3" w:name="_Toc206425393"/>
      <w:r w:rsidRPr="00181EED">
        <w:t>2</w:t>
      </w:r>
      <w:r w:rsidR="00E4498B" w:rsidRPr="00181EED">
        <w:t>.0</w:t>
      </w:r>
      <w:r w:rsidRPr="00181EED">
        <w:t xml:space="preserve"> </w:t>
      </w:r>
      <w:r w:rsidR="00A44137">
        <w:tab/>
      </w:r>
      <w:r w:rsidRPr="00181EED">
        <w:t>Section 106 Income</w:t>
      </w:r>
      <w:bookmarkEnd w:id="2"/>
      <w:r w:rsidR="009E6719">
        <w:t xml:space="preserve"> for 202</w:t>
      </w:r>
      <w:r w:rsidR="009E7C74">
        <w:t>4</w:t>
      </w:r>
      <w:r w:rsidR="009E6719">
        <w:t>/2</w:t>
      </w:r>
      <w:r w:rsidR="009E7C74">
        <w:t>5</w:t>
      </w:r>
      <w:bookmarkEnd w:id="3"/>
    </w:p>
    <w:p w14:paraId="69AB902F" w14:textId="77777777" w:rsidR="000D31FB" w:rsidRPr="00181EED" w:rsidRDefault="000D31FB" w:rsidP="00181EED"/>
    <w:p w14:paraId="75C73AFB" w14:textId="3A8D0F2A" w:rsidR="000D31FB" w:rsidRPr="009E6719" w:rsidRDefault="000D31FB" w:rsidP="003B4F5A">
      <w:pPr>
        <w:jc w:val="both"/>
        <w:rPr>
          <w:rFonts w:ascii="Verdana" w:hAnsi="Verdana"/>
          <w:sz w:val="22"/>
          <w:szCs w:val="22"/>
        </w:rPr>
      </w:pPr>
      <w:r w:rsidRPr="009E6719">
        <w:rPr>
          <w:rFonts w:ascii="Verdana" w:hAnsi="Verdana"/>
          <w:sz w:val="22"/>
          <w:szCs w:val="22"/>
        </w:rPr>
        <w:t xml:space="preserve">2.1 </w:t>
      </w:r>
      <w:r w:rsidR="009E6719">
        <w:rPr>
          <w:rFonts w:ascii="Verdana" w:hAnsi="Verdana"/>
          <w:sz w:val="22"/>
          <w:szCs w:val="22"/>
        </w:rPr>
        <w:tab/>
      </w:r>
      <w:r w:rsidR="006D77AD" w:rsidRPr="009E6719">
        <w:rPr>
          <w:rFonts w:ascii="Verdana" w:hAnsi="Verdana"/>
          <w:sz w:val="22"/>
          <w:szCs w:val="22"/>
        </w:rPr>
        <w:t>S</w:t>
      </w:r>
      <w:r w:rsidRPr="009E6719">
        <w:rPr>
          <w:rFonts w:ascii="Verdana" w:hAnsi="Verdana"/>
          <w:sz w:val="22"/>
          <w:szCs w:val="22"/>
        </w:rPr>
        <w:t>106 agreement income is collected with a view to delivering Maldon District</w:t>
      </w:r>
      <w:r w:rsidR="00504094" w:rsidRPr="009E6719">
        <w:rPr>
          <w:rFonts w:ascii="Verdana" w:hAnsi="Verdana"/>
          <w:sz w:val="22"/>
          <w:szCs w:val="22"/>
        </w:rPr>
        <w:t xml:space="preserve">`s </w:t>
      </w:r>
      <w:r w:rsidRPr="009E6719">
        <w:rPr>
          <w:rFonts w:ascii="Verdana" w:hAnsi="Verdana"/>
          <w:sz w:val="22"/>
          <w:szCs w:val="22"/>
        </w:rPr>
        <w:t>Infrastructure Delivery Plan</w:t>
      </w:r>
      <w:r w:rsidR="00470224">
        <w:rPr>
          <w:rStyle w:val="FootnoteReference"/>
          <w:rFonts w:ascii="Verdana" w:hAnsi="Verdana"/>
          <w:sz w:val="22"/>
          <w:szCs w:val="22"/>
        </w:rPr>
        <w:footnoteReference w:id="4"/>
      </w:r>
      <w:r w:rsidRPr="009E6719">
        <w:rPr>
          <w:rFonts w:ascii="Verdana" w:hAnsi="Verdana"/>
          <w:sz w:val="22"/>
          <w:szCs w:val="22"/>
        </w:rPr>
        <w:t xml:space="preserve">, which </w:t>
      </w:r>
      <w:r w:rsidR="00470224">
        <w:rPr>
          <w:rFonts w:ascii="Verdana" w:hAnsi="Verdana"/>
          <w:sz w:val="22"/>
          <w:szCs w:val="22"/>
        </w:rPr>
        <w:t xml:space="preserve">accompanies </w:t>
      </w:r>
      <w:r w:rsidRPr="009E6719">
        <w:rPr>
          <w:rFonts w:ascii="Verdana" w:hAnsi="Verdana"/>
          <w:sz w:val="22"/>
          <w:szCs w:val="22"/>
        </w:rPr>
        <w:t xml:space="preserve">the 2017 approved Maldon District Local Development Plan (LDP). The LDP can be found: </w:t>
      </w:r>
      <w:hyperlink r:id="rId11" w:history="1">
        <w:r w:rsidRPr="009E6719">
          <w:rPr>
            <w:rStyle w:val="Hyperlink"/>
            <w:rFonts w:ascii="Verdana" w:hAnsi="Verdana"/>
            <w:sz w:val="22"/>
            <w:szCs w:val="22"/>
          </w:rPr>
          <w:t>www.maldon.gov.uk/ldp</w:t>
        </w:r>
      </w:hyperlink>
      <w:r w:rsidRPr="009E6719">
        <w:rPr>
          <w:rFonts w:ascii="Verdana" w:hAnsi="Verdana"/>
          <w:sz w:val="22"/>
          <w:szCs w:val="22"/>
        </w:rPr>
        <w:t xml:space="preserve">. </w:t>
      </w:r>
    </w:p>
    <w:p w14:paraId="17DB5208" w14:textId="28E0B7B3" w:rsidR="000701A6" w:rsidRDefault="00860FD9" w:rsidP="003B4F5A">
      <w:pPr>
        <w:jc w:val="both"/>
        <w:rPr>
          <w:rFonts w:ascii="Verdana" w:hAnsi="Verdana"/>
          <w:sz w:val="22"/>
          <w:szCs w:val="22"/>
        </w:rPr>
      </w:pPr>
      <w:r w:rsidRPr="009E6719">
        <w:rPr>
          <w:rFonts w:ascii="Verdana" w:hAnsi="Verdana"/>
          <w:sz w:val="22"/>
          <w:szCs w:val="22"/>
        </w:rPr>
        <w:t xml:space="preserve">Set out below </w:t>
      </w:r>
      <w:r w:rsidR="000701A6">
        <w:rPr>
          <w:rFonts w:ascii="Verdana" w:hAnsi="Verdana"/>
          <w:sz w:val="22"/>
          <w:szCs w:val="22"/>
        </w:rPr>
        <w:t xml:space="preserve">in </w:t>
      </w:r>
      <w:r w:rsidR="00140976" w:rsidRPr="001251B1">
        <w:rPr>
          <w:rFonts w:ascii="Verdana" w:hAnsi="Verdana"/>
          <w:b/>
          <w:bCs/>
          <w:sz w:val="22"/>
          <w:szCs w:val="22"/>
        </w:rPr>
        <w:t>Chart</w:t>
      </w:r>
      <w:r w:rsidR="000701A6" w:rsidRPr="00140976">
        <w:rPr>
          <w:rFonts w:ascii="Verdana" w:hAnsi="Verdana"/>
          <w:b/>
          <w:bCs/>
          <w:sz w:val="22"/>
          <w:szCs w:val="22"/>
        </w:rPr>
        <w:t xml:space="preserve"> </w:t>
      </w:r>
      <w:r w:rsidR="000701A6" w:rsidRPr="000701A6">
        <w:rPr>
          <w:rFonts w:ascii="Verdana" w:hAnsi="Verdana"/>
          <w:b/>
          <w:bCs/>
          <w:sz w:val="22"/>
          <w:szCs w:val="22"/>
        </w:rPr>
        <w:t>1</w:t>
      </w:r>
      <w:r w:rsidR="000701A6">
        <w:rPr>
          <w:rFonts w:ascii="Verdana" w:hAnsi="Verdana"/>
          <w:sz w:val="22"/>
          <w:szCs w:val="22"/>
        </w:rPr>
        <w:t xml:space="preserve"> </w:t>
      </w:r>
      <w:r w:rsidR="00CE18C4" w:rsidRPr="00CE18C4">
        <w:rPr>
          <w:rFonts w:ascii="Verdana" w:hAnsi="Verdana"/>
          <w:b/>
          <w:bCs/>
          <w:sz w:val="22"/>
          <w:szCs w:val="22"/>
        </w:rPr>
        <w:t xml:space="preserve">and </w:t>
      </w:r>
      <w:r w:rsidR="00140976">
        <w:rPr>
          <w:rFonts w:ascii="Verdana" w:hAnsi="Verdana"/>
          <w:b/>
          <w:bCs/>
          <w:sz w:val="22"/>
          <w:szCs w:val="22"/>
        </w:rPr>
        <w:t>Table 1</w:t>
      </w:r>
      <w:r w:rsidR="00CE18C4">
        <w:rPr>
          <w:rFonts w:ascii="Verdana" w:hAnsi="Verdana"/>
          <w:sz w:val="22"/>
          <w:szCs w:val="22"/>
        </w:rPr>
        <w:t xml:space="preserve"> </w:t>
      </w:r>
      <w:r w:rsidRPr="009E6719">
        <w:rPr>
          <w:rFonts w:ascii="Verdana" w:hAnsi="Verdana"/>
          <w:sz w:val="22"/>
          <w:szCs w:val="22"/>
        </w:rPr>
        <w:t xml:space="preserve">is the total amount of funding received </w:t>
      </w:r>
      <w:r w:rsidR="004529AB" w:rsidRPr="009E6719">
        <w:rPr>
          <w:rFonts w:ascii="Verdana" w:hAnsi="Verdana"/>
          <w:sz w:val="22"/>
          <w:szCs w:val="22"/>
        </w:rPr>
        <w:t xml:space="preserve">into the Council </w:t>
      </w:r>
      <w:r w:rsidR="00CC29B9" w:rsidRPr="009E6719">
        <w:rPr>
          <w:rFonts w:ascii="Verdana" w:hAnsi="Verdana"/>
          <w:sz w:val="22"/>
          <w:szCs w:val="22"/>
        </w:rPr>
        <w:t>for the financial year 202</w:t>
      </w:r>
      <w:r w:rsidR="009E7C74">
        <w:rPr>
          <w:rFonts w:ascii="Verdana" w:hAnsi="Verdana"/>
          <w:sz w:val="22"/>
          <w:szCs w:val="22"/>
        </w:rPr>
        <w:t>4</w:t>
      </w:r>
      <w:r w:rsidR="00CC29B9" w:rsidRPr="009E6719">
        <w:rPr>
          <w:rFonts w:ascii="Verdana" w:hAnsi="Verdana"/>
          <w:sz w:val="22"/>
          <w:szCs w:val="22"/>
        </w:rPr>
        <w:t>/2</w:t>
      </w:r>
      <w:r w:rsidR="009E7C74">
        <w:rPr>
          <w:rFonts w:ascii="Verdana" w:hAnsi="Verdana"/>
          <w:sz w:val="22"/>
          <w:szCs w:val="22"/>
        </w:rPr>
        <w:t>5</w:t>
      </w:r>
      <w:r w:rsidR="002B111B">
        <w:rPr>
          <w:rFonts w:ascii="Verdana" w:hAnsi="Verdana"/>
          <w:sz w:val="22"/>
          <w:szCs w:val="22"/>
        </w:rPr>
        <w:t xml:space="preserve"> broken down into its </w:t>
      </w:r>
      <w:r w:rsidR="00664C82">
        <w:rPr>
          <w:rFonts w:ascii="Verdana" w:hAnsi="Verdana"/>
          <w:sz w:val="22"/>
          <w:szCs w:val="22"/>
        </w:rPr>
        <w:t>funding use.</w:t>
      </w:r>
      <w:r w:rsidR="002C6BD8">
        <w:rPr>
          <w:rFonts w:ascii="Verdana" w:hAnsi="Verdana"/>
          <w:sz w:val="22"/>
          <w:szCs w:val="22"/>
        </w:rPr>
        <w:t xml:space="preserve">  The total amount of funding in was </w:t>
      </w:r>
      <w:r w:rsidR="00B879F9">
        <w:rPr>
          <w:rFonts w:ascii="Verdana" w:hAnsi="Verdana"/>
          <w:sz w:val="22"/>
          <w:szCs w:val="22"/>
        </w:rPr>
        <w:t>£11</w:t>
      </w:r>
      <w:r w:rsidR="00EF57EE">
        <w:rPr>
          <w:rFonts w:ascii="Verdana" w:hAnsi="Verdana"/>
          <w:sz w:val="22"/>
          <w:szCs w:val="22"/>
        </w:rPr>
        <w:t>,210.99.</w:t>
      </w:r>
    </w:p>
    <w:p w14:paraId="03A5A33C" w14:textId="77777777" w:rsidR="00CE18C4" w:rsidRDefault="000701A6" w:rsidP="003B4F5A">
      <w:pPr>
        <w:jc w:val="both"/>
      </w:pPr>
      <w:r>
        <w:rPr>
          <w:noProof/>
        </w:rPr>
        <w:t xml:space="preserve"> </w:t>
      </w:r>
    </w:p>
    <w:p w14:paraId="0473D52B" w14:textId="7D1F79E4" w:rsidR="00CE18C4" w:rsidRDefault="00140976" w:rsidP="00CE18C4">
      <w:pPr>
        <w:pStyle w:val="Caption"/>
        <w:keepNext/>
        <w:jc w:val="both"/>
      </w:pPr>
      <w:r>
        <w:t>Chart</w:t>
      </w:r>
      <w:r w:rsidR="00CE18C4">
        <w:t xml:space="preserve"> </w:t>
      </w:r>
      <w:r w:rsidR="005D1104">
        <w:fldChar w:fldCharType="begin"/>
      </w:r>
      <w:r w:rsidR="005D1104">
        <w:instrText xml:space="preserve"> SEQ Table \* ARABIC </w:instrText>
      </w:r>
      <w:r w:rsidR="005D1104">
        <w:fldChar w:fldCharType="separate"/>
      </w:r>
      <w:r w:rsidR="00E44FEF">
        <w:rPr>
          <w:noProof/>
        </w:rPr>
        <w:t>1</w:t>
      </w:r>
      <w:r w:rsidR="005D1104">
        <w:rPr>
          <w:noProof/>
        </w:rPr>
        <w:fldChar w:fldCharType="end"/>
      </w:r>
    </w:p>
    <w:p w14:paraId="3DBB8FE7" w14:textId="05CD387D" w:rsidR="00860FD9" w:rsidRDefault="00851DCD" w:rsidP="003B4F5A">
      <w:pPr>
        <w:jc w:val="both"/>
        <w:rPr>
          <w:noProof/>
        </w:rPr>
      </w:pPr>
      <w:r>
        <w:rPr>
          <w:noProof/>
        </w:rPr>
        <w:drawing>
          <wp:inline distT="0" distB="0" distL="0" distR="0" wp14:anchorId="2CFCC3BE" wp14:editId="0FBF9888">
            <wp:extent cx="6106795" cy="3708400"/>
            <wp:effectExtent l="19050" t="19050" r="27305" b="25400"/>
            <wp:docPr id="1011962043"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2043" name="Picture 1" descr="A graph of a graph&#10;&#10;AI-generated content may be incorrect."/>
                    <pic:cNvPicPr/>
                  </pic:nvPicPr>
                  <pic:blipFill>
                    <a:blip r:embed="rId12"/>
                    <a:stretch>
                      <a:fillRect/>
                    </a:stretch>
                  </pic:blipFill>
                  <pic:spPr>
                    <a:xfrm>
                      <a:off x="0" y="0"/>
                      <a:ext cx="6106795" cy="3708400"/>
                    </a:xfrm>
                    <a:prstGeom prst="rect">
                      <a:avLst/>
                    </a:prstGeom>
                    <a:ln>
                      <a:solidFill>
                        <a:schemeClr val="accent1"/>
                      </a:solidFill>
                    </a:ln>
                    <a:effectLst>
                      <a:softEdge rad="0"/>
                    </a:effectLst>
                  </pic:spPr>
                </pic:pic>
              </a:graphicData>
            </a:graphic>
          </wp:inline>
        </w:drawing>
      </w:r>
    </w:p>
    <w:p w14:paraId="4593B98B" w14:textId="7639FF09" w:rsidR="00CE18C4" w:rsidRDefault="00CE18C4" w:rsidP="00CE18C4">
      <w:pPr>
        <w:pStyle w:val="Caption"/>
        <w:keepNext/>
        <w:jc w:val="both"/>
        <w:rPr>
          <w:noProof/>
        </w:rPr>
      </w:pPr>
      <w:r>
        <w:t xml:space="preserve">Table </w:t>
      </w:r>
      <w:r w:rsidR="00140976">
        <w:t>1</w:t>
      </w:r>
    </w:p>
    <w:p w14:paraId="2C2CFA69" w14:textId="56A05764" w:rsidR="008525FB" w:rsidRDefault="00334E26" w:rsidP="003B4F5A">
      <w:pPr>
        <w:jc w:val="both"/>
        <w:rPr>
          <w:rFonts w:ascii="Verdana" w:hAnsi="Verdana"/>
          <w:sz w:val="22"/>
          <w:szCs w:val="22"/>
        </w:rPr>
      </w:pPr>
      <w:r>
        <w:rPr>
          <w:noProof/>
        </w:rPr>
        <w:drawing>
          <wp:inline distT="0" distB="0" distL="0" distR="0" wp14:anchorId="60456866" wp14:editId="0316F80D">
            <wp:extent cx="3182112" cy="994410"/>
            <wp:effectExtent l="19050" t="19050" r="18415" b="15240"/>
            <wp:docPr id="3702415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41509" name="Picture 1" descr="A screenshot of a computer&#10;&#10;AI-generated content may be incorrect."/>
                    <pic:cNvPicPr/>
                  </pic:nvPicPr>
                  <pic:blipFill>
                    <a:blip r:embed="rId13"/>
                    <a:stretch>
                      <a:fillRect/>
                    </a:stretch>
                  </pic:blipFill>
                  <pic:spPr>
                    <a:xfrm>
                      <a:off x="0" y="0"/>
                      <a:ext cx="3190471" cy="997022"/>
                    </a:xfrm>
                    <a:prstGeom prst="rect">
                      <a:avLst/>
                    </a:prstGeom>
                    <a:ln>
                      <a:solidFill>
                        <a:schemeClr val="accent1"/>
                      </a:solidFill>
                    </a:ln>
                  </pic:spPr>
                </pic:pic>
              </a:graphicData>
            </a:graphic>
          </wp:inline>
        </w:drawing>
      </w:r>
    </w:p>
    <w:p w14:paraId="5BE24202" w14:textId="4B8DD9C6" w:rsidR="004D126D" w:rsidRPr="00181EED" w:rsidRDefault="00F46AC7" w:rsidP="00F46AC7">
      <w:pPr>
        <w:pStyle w:val="Heading1"/>
      </w:pPr>
      <w:bookmarkStart w:id="4" w:name="_Toc206425394"/>
      <w:r>
        <w:lastRenderedPageBreak/>
        <w:t>3.0</w:t>
      </w:r>
      <w:r>
        <w:tab/>
        <w:t>Section 106 Expenditure for 202</w:t>
      </w:r>
      <w:r w:rsidR="00EF57EE">
        <w:t>4</w:t>
      </w:r>
      <w:r>
        <w:t>/2</w:t>
      </w:r>
      <w:r w:rsidR="00EF57EE">
        <w:t>5</w:t>
      </w:r>
      <w:bookmarkEnd w:id="4"/>
    </w:p>
    <w:p w14:paraId="66F3422E" w14:textId="1D3EBB40" w:rsidR="00F46AC7" w:rsidRDefault="00F46AC7" w:rsidP="00181EED"/>
    <w:p w14:paraId="0AA2463E" w14:textId="3DF92F47" w:rsidR="00F46AC7" w:rsidRPr="00A65C64" w:rsidRDefault="006C0478" w:rsidP="003B4F5A">
      <w:pPr>
        <w:jc w:val="both"/>
        <w:rPr>
          <w:rFonts w:ascii="Verdana" w:hAnsi="Verdana"/>
          <w:sz w:val="22"/>
          <w:szCs w:val="22"/>
        </w:rPr>
      </w:pPr>
      <w:r w:rsidRPr="00A65C64">
        <w:rPr>
          <w:rFonts w:ascii="Verdana" w:hAnsi="Verdana"/>
          <w:sz w:val="22"/>
          <w:szCs w:val="22"/>
        </w:rPr>
        <w:t>3.1</w:t>
      </w:r>
      <w:r w:rsidRPr="00A65C64">
        <w:rPr>
          <w:rFonts w:ascii="Verdana" w:hAnsi="Verdana"/>
          <w:sz w:val="22"/>
          <w:szCs w:val="22"/>
        </w:rPr>
        <w:tab/>
      </w:r>
      <w:r w:rsidR="00163871" w:rsidRPr="00A65C64">
        <w:rPr>
          <w:rFonts w:ascii="Verdana" w:hAnsi="Verdana"/>
          <w:sz w:val="22"/>
          <w:szCs w:val="22"/>
        </w:rPr>
        <w:t xml:space="preserve">The Council holds the funding from S106 agreements </w:t>
      </w:r>
      <w:r w:rsidR="00140976">
        <w:rPr>
          <w:rFonts w:ascii="Verdana" w:hAnsi="Verdana"/>
          <w:sz w:val="22"/>
          <w:szCs w:val="22"/>
        </w:rPr>
        <w:t xml:space="preserve">in reserves </w:t>
      </w:r>
      <w:r w:rsidR="00163871" w:rsidRPr="00A65C64">
        <w:rPr>
          <w:rFonts w:ascii="Verdana" w:hAnsi="Verdana"/>
          <w:sz w:val="22"/>
          <w:szCs w:val="22"/>
        </w:rPr>
        <w:t xml:space="preserve">until it is either called for by a </w:t>
      </w:r>
      <w:r w:rsidR="00772830" w:rsidRPr="00A65C64">
        <w:rPr>
          <w:rFonts w:ascii="Verdana" w:hAnsi="Verdana"/>
          <w:sz w:val="22"/>
          <w:szCs w:val="22"/>
        </w:rPr>
        <w:t>third-party</w:t>
      </w:r>
      <w:r w:rsidR="00163871" w:rsidRPr="00A65C64">
        <w:rPr>
          <w:rFonts w:ascii="Verdana" w:hAnsi="Verdana"/>
          <w:sz w:val="22"/>
          <w:szCs w:val="22"/>
        </w:rPr>
        <w:t xml:space="preserve"> organisation </w:t>
      </w:r>
      <w:r w:rsidR="00EB5B62">
        <w:rPr>
          <w:rFonts w:ascii="Verdana" w:hAnsi="Verdana"/>
          <w:sz w:val="22"/>
          <w:szCs w:val="22"/>
        </w:rPr>
        <w:t>t</w:t>
      </w:r>
      <w:r w:rsidR="008861DA">
        <w:rPr>
          <w:rFonts w:ascii="Verdana" w:hAnsi="Verdana"/>
          <w:sz w:val="22"/>
          <w:szCs w:val="22"/>
        </w:rPr>
        <w:t>hat needs it to invest in</w:t>
      </w:r>
      <w:r w:rsidR="000B3B36">
        <w:rPr>
          <w:rFonts w:ascii="Verdana" w:hAnsi="Verdana"/>
          <w:sz w:val="22"/>
          <w:szCs w:val="22"/>
        </w:rPr>
        <w:t xml:space="preserve"> infrastructure within their control, </w:t>
      </w:r>
      <w:r w:rsidR="00163871" w:rsidRPr="00A65C64">
        <w:rPr>
          <w:rFonts w:ascii="Verdana" w:hAnsi="Verdana"/>
          <w:sz w:val="22"/>
          <w:szCs w:val="22"/>
        </w:rPr>
        <w:t xml:space="preserve">or </w:t>
      </w:r>
      <w:r w:rsidR="00140976">
        <w:rPr>
          <w:rFonts w:ascii="Verdana" w:hAnsi="Verdana"/>
          <w:sz w:val="22"/>
          <w:szCs w:val="22"/>
        </w:rPr>
        <w:t xml:space="preserve">when </w:t>
      </w:r>
      <w:r w:rsidR="00163871" w:rsidRPr="00A65C64">
        <w:rPr>
          <w:rFonts w:ascii="Verdana" w:hAnsi="Verdana"/>
          <w:sz w:val="22"/>
          <w:szCs w:val="22"/>
        </w:rPr>
        <w:t xml:space="preserve">the Council </w:t>
      </w:r>
      <w:r w:rsidR="00A360F3">
        <w:rPr>
          <w:rFonts w:ascii="Verdana" w:hAnsi="Verdana"/>
          <w:sz w:val="22"/>
          <w:szCs w:val="22"/>
        </w:rPr>
        <w:t xml:space="preserve">is in a position to </w:t>
      </w:r>
      <w:r w:rsidR="00A65C64" w:rsidRPr="00A65C64">
        <w:rPr>
          <w:rFonts w:ascii="Verdana" w:hAnsi="Verdana"/>
          <w:sz w:val="22"/>
          <w:szCs w:val="22"/>
        </w:rPr>
        <w:t>spend the funding</w:t>
      </w:r>
      <w:r w:rsidR="000B3B36">
        <w:rPr>
          <w:rFonts w:ascii="Verdana" w:hAnsi="Verdana"/>
          <w:sz w:val="22"/>
          <w:szCs w:val="22"/>
        </w:rPr>
        <w:t xml:space="preserve"> directly</w:t>
      </w:r>
      <w:r w:rsidR="00D716C5">
        <w:rPr>
          <w:rFonts w:ascii="Verdana" w:hAnsi="Verdana"/>
          <w:sz w:val="22"/>
          <w:szCs w:val="22"/>
        </w:rPr>
        <w:t xml:space="preserve"> on that infrastructure</w:t>
      </w:r>
      <w:r w:rsidR="00140976">
        <w:rPr>
          <w:rFonts w:ascii="Verdana" w:hAnsi="Verdana"/>
          <w:sz w:val="22"/>
          <w:szCs w:val="22"/>
        </w:rPr>
        <w:t xml:space="preserve">, which </w:t>
      </w:r>
      <w:r w:rsidR="00A360F3">
        <w:rPr>
          <w:rFonts w:ascii="Verdana" w:hAnsi="Verdana"/>
          <w:sz w:val="22"/>
          <w:szCs w:val="22"/>
        </w:rPr>
        <w:t>would normally be when all the contributions have been collected</w:t>
      </w:r>
      <w:r w:rsidR="00A65C64">
        <w:rPr>
          <w:rFonts w:ascii="Verdana" w:hAnsi="Verdana"/>
          <w:sz w:val="22"/>
          <w:szCs w:val="22"/>
        </w:rPr>
        <w:t xml:space="preserve">.  </w:t>
      </w:r>
      <w:r w:rsidR="00D716C5">
        <w:rPr>
          <w:rFonts w:ascii="Verdana" w:hAnsi="Verdana"/>
          <w:sz w:val="22"/>
          <w:szCs w:val="22"/>
        </w:rPr>
        <w:t xml:space="preserve">After the S106 </w:t>
      </w:r>
      <w:r w:rsidR="00AC1E8B">
        <w:rPr>
          <w:rFonts w:ascii="Verdana" w:hAnsi="Verdana"/>
          <w:sz w:val="22"/>
          <w:szCs w:val="22"/>
        </w:rPr>
        <w:t>legal a</w:t>
      </w:r>
      <w:r w:rsidR="00D716C5">
        <w:rPr>
          <w:rFonts w:ascii="Verdana" w:hAnsi="Verdana"/>
          <w:sz w:val="22"/>
          <w:szCs w:val="22"/>
        </w:rPr>
        <w:t xml:space="preserve">greement is signed </w:t>
      </w:r>
      <w:r w:rsidR="00AC1E8B">
        <w:rPr>
          <w:rFonts w:ascii="Verdana" w:hAnsi="Verdana"/>
          <w:sz w:val="22"/>
          <w:szCs w:val="22"/>
        </w:rPr>
        <w:t>when planning permission is granted, t</w:t>
      </w:r>
      <w:r w:rsidR="0085062B">
        <w:rPr>
          <w:rFonts w:ascii="Verdana" w:hAnsi="Verdana"/>
          <w:sz w:val="22"/>
          <w:szCs w:val="22"/>
        </w:rPr>
        <w:t>he Council does not have free</w:t>
      </w:r>
      <w:r w:rsidR="00590643">
        <w:rPr>
          <w:rFonts w:ascii="Verdana" w:hAnsi="Verdana"/>
          <w:sz w:val="22"/>
          <w:szCs w:val="22"/>
        </w:rPr>
        <w:t>dom over where this funding can be spent. The f</w:t>
      </w:r>
      <w:r w:rsidR="00A65C64">
        <w:rPr>
          <w:rFonts w:ascii="Verdana" w:hAnsi="Verdana"/>
          <w:sz w:val="22"/>
          <w:szCs w:val="22"/>
        </w:rPr>
        <w:t xml:space="preserve">unding can only be spent on </w:t>
      </w:r>
      <w:r w:rsidR="00A360F3">
        <w:rPr>
          <w:rFonts w:ascii="Verdana" w:hAnsi="Verdana"/>
          <w:sz w:val="22"/>
          <w:szCs w:val="22"/>
        </w:rPr>
        <w:t xml:space="preserve">projects if they align with the terms of the </w:t>
      </w:r>
      <w:r w:rsidR="00A65C64" w:rsidRPr="00A65C64">
        <w:rPr>
          <w:rFonts w:ascii="Verdana" w:hAnsi="Verdana"/>
          <w:sz w:val="22"/>
          <w:szCs w:val="22"/>
        </w:rPr>
        <w:t>relevant legal agreements.</w:t>
      </w:r>
    </w:p>
    <w:p w14:paraId="7EECEE1C" w14:textId="20EC1E80" w:rsidR="000D31FB" w:rsidRPr="00A65C64" w:rsidRDefault="00AC2714" w:rsidP="003B4F5A">
      <w:pPr>
        <w:jc w:val="both"/>
        <w:rPr>
          <w:rFonts w:ascii="Verdana" w:hAnsi="Verdana"/>
          <w:sz w:val="22"/>
          <w:szCs w:val="22"/>
        </w:rPr>
      </w:pPr>
      <w:r w:rsidRPr="00A65C64">
        <w:rPr>
          <w:rFonts w:ascii="Verdana" w:hAnsi="Verdana"/>
          <w:sz w:val="22"/>
          <w:szCs w:val="22"/>
        </w:rPr>
        <w:t xml:space="preserve">Set out below </w:t>
      </w:r>
      <w:r w:rsidR="0091709A">
        <w:rPr>
          <w:rFonts w:ascii="Verdana" w:hAnsi="Verdana"/>
          <w:sz w:val="22"/>
          <w:szCs w:val="22"/>
        </w:rPr>
        <w:t xml:space="preserve">in </w:t>
      </w:r>
      <w:r w:rsidR="00140976" w:rsidRPr="001251B1">
        <w:rPr>
          <w:rFonts w:ascii="Verdana" w:hAnsi="Verdana"/>
          <w:b/>
          <w:bCs/>
          <w:sz w:val="22"/>
          <w:szCs w:val="22"/>
        </w:rPr>
        <w:t xml:space="preserve">Chart </w:t>
      </w:r>
      <w:r w:rsidR="00140976" w:rsidRPr="00140976">
        <w:rPr>
          <w:rFonts w:ascii="Verdana" w:hAnsi="Verdana"/>
          <w:b/>
          <w:bCs/>
          <w:sz w:val="22"/>
          <w:szCs w:val="22"/>
        </w:rPr>
        <w:t>2</w:t>
      </w:r>
      <w:r w:rsidR="0091709A" w:rsidRPr="0091709A">
        <w:rPr>
          <w:rFonts w:ascii="Verdana" w:hAnsi="Verdana"/>
          <w:b/>
          <w:bCs/>
          <w:sz w:val="22"/>
          <w:szCs w:val="22"/>
        </w:rPr>
        <w:t xml:space="preserve"> and </w:t>
      </w:r>
      <w:r w:rsidR="00140976">
        <w:rPr>
          <w:rFonts w:ascii="Verdana" w:hAnsi="Verdana"/>
          <w:b/>
          <w:bCs/>
          <w:sz w:val="22"/>
          <w:szCs w:val="22"/>
        </w:rPr>
        <w:t>Table 2</w:t>
      </w:r>
      <w:r w:rsidR="0091709A">
        <w:rPr>
          <w:rFonts w:ascii="Verdana" w:hAnsi="Verdana"/>
          <w:sz w:val="22"/>
          <w:szCs w:val="22"/>
        </w:rPr>
        <w:t xml:space="preserve"> </w:t>
      </w:r>
      <w:r w:rsidRPr="00A65C64">
        <w:rPr>
          <w:rFonts w:ascii="Verdana" w:hAnsi="Verdana"/>
          <w:sz w:val="22"/>
          <w:szCs w:val="22"/>
        </w:rPr>
        <w:t xml:space="preserve">is the total amount of </w:t>
      </w:r>
      <w:r w:rsidR="004D126D" w:rsidRPr="00A65C64">
        <w:rPr>
          <w:rFonts w:ascii="Verdana" w:hAnsi="Verdana"/>
          <w:sz w:val="22"/>
          <w:szCs w:val="22"/>
        </w:rPr>
        <w:t xml:space="preserve">S106 </w:t>
      </w:r>
      <w:r w:rsidRPr="00A65C64">
        <w:rPr>
          <w:rFonts w:ascii="Verdana" w:hAnsi="Verdana"/>
          <w:sz w:val="22"/>
          <w:szCs w:val="22"/>
        </w:rPr>
        <w:t>funding spen</w:t>
      </w:r>
      <w:r w:rsidR="005178A9" w:rsidRPr="00A65C64">
        <w:rPr>
          <w:rFonts w:ascii="Verdana" w:hAnsi="Verdana"/>
          <w:sz w:val="22"/>
          <w:szCs w:val="22"/>
        </w:rPr>
        <w:t>t during the financial year 202</w:t>
      </w:r>
      <w:r w:rsidR="00EF57EE">
        <w:rPr>
          <w:rFonts w:ascii="Verdana" w:hAnsi="Verdana"/>
          <w:sz w:val="22"/>
          <w:szCs w:val="22"/>
        </w:rPr>
        <w:t>4</w:t>
      </w:r>
      <w:r w:rsidR="005178A9" w:rsidRPr="00A65C64">
        <w:rPr>
          <w:rFonts w:ascii="Verdana" w:hAnsi="Verdana"/>
          <w:sz w:val="22"/>
          <w:szCs w:val="22"/>
        </w:rPr>
        <w:t>/2</w:t>
      </w:r>
      <w:r w:rsidR="00EF57EE">
        <w:rPr>
          <w:rFonts w:ascii="Verdana" w:hAnsi="Verdana"/>
          <w:sz w:val="22"/>
          <w:szCs w:val="22"/>
        </w:rPr>
        <w:t>5</w:t>
      </w:r>
    </w:p>
    <w:p w14:paraId="02D75F5E" w14:textId="5EA7ADA5" w:rsidR="0091709A" w:rsidRDefault="00140976" w:rsidP="0091709A">
      <w:pPr>
        <w:pStyle w:val="Caption"/>
        <w:keepNext/>
      </w:pPr>
      <w:r>
        <w:t>Chart</w:t>
      </w:r>
      <w:r w:rsidR="0091709A">
        <w:t xml:space="preserve"> </w:t>
      </w:r>
      <w:r>
        <w:t>2</w:t>
      </w:r>
    </w:p>
    <w:p w14:paraId="78167268" w14:textId="239086E6" w:rsidR="00D144A0" w:rsidRPr="00181EED" w:rsidRDefault="00A85B50" w:rsidP="00181EED">
      <w:r>
        <w:rPr>
          <w:noProof/>
        </w:rPr>
        <w:drawing>
          <wp:inline distT="0" distB="0" distL="0" distR="0" wp14:anchorId="7A93EC49" wp14:editId="1DE69C18">
            <wp:extent cx="6106795" cy="3551555"/>
            <wp:effectExtent l="19050" t="19050" r="27305" b="10795"/>
            <wp:docPr id="992615448" name="Picture 1" descr="A graph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15448" name="Picture 1" descr="A graph of blue rectangular bars&#10;&#10;AI-generated content may be incorrect."/>
                    <pic:cNvPicPr/>
                  </pic:nvPicPr>
                  <pic:blipFill>
                    <a:blip r:embed="rId14"/>
                    <a:stretch>
                      <a:fillRect/>
                    </a:stretch>
                  </pic:blipFill>
                  <pic:spPr>
                    <a:xfrm>
                      <a:off x="0" y="0"/>
                      <a:ext cx="6106795" cy="3551555"/>
                    </a:xfrm>
                    <a:prstGeom prst="rect">
                      <a:avLst/>
                    </a:prstGeom>
                    <a:ln>
                      <a:solidFill>
                        <a:schemeClr val="accent1"/>
                      </a:solidFill>
                    </a:ln>
                  </pic:spPr>
                </pic:pic>
              </a:graphicData>
            </a:graphic>
          </wp:inline>
        </w:drawing>
      </w:r>
    </w:p>
    <w:p w14:paraId="56A6F3BC" w14:textId="4A7BAE6E" w:rsidR="0091709A" w:rsidRDefault="0091709A" w:rsidP="0091709A">
      <w:pPr>
        <w:pStyle w:val="Caption"/>
        <w:keepNext/>
      </w:pPr>
      <w:r>
        <w:t xml:space="preserve">Table </w:t>
      </w:r>
      <w:r w:rsidR="00140976">
        <w:t>2</w:t>
      </w:r>
    </w:p>
    <w:tbl>
      <w:tblPr>
        <w:tblW w:w="4500" w:type="dxa"/>
        <w:tblLook w:val="04A0" w:firstRow="1" w:lastRow="0" w:firstColumn="1" w:lastColumn="0" w:noHBand="0" w:noVBand="1"/>
      </w:tblPr>
      <w:tblGrid>
        <w:gridCol w:w="2660"/>
        <w:gridCol w:w="1840"/>
      </w:tblGrid>
      <w:tr w:rsidR="00C46055" w:rsidRPr="00C46055" w14:paraId="1639794E" w14:textId="77777777" w:rsidTr="00C46055">
        <w:trPr>
          <w:trHeight w:val="288"/>
        </w:trPr>
        <w:tc>
          <w:tcPr>
            <w:tcW w:w="26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446E475" w14:textId="77777777" w:rsidR="00C46055" w:rsidRPr="00C46055" w:rsidRDefault="00C46055" w:rsidP="00C46055">
            <w:pPr>
              <w:spacing w:after="0" w:line="240" w:lineRule="auto"/>
              <w:rPr>
                <w:rFonts w:ascii="Calibri" w:eastAsia="Times New Roman" w:hAnsi="Calibri" w:cs="Calibri"/>
                <w:b/>
                <w:bCs/>
                <w:color w:val="000000"/>
                <w:sz w:val="22"/>
                <w:szCs w:val="22"/>
                <w:lang w:eastAsia="en-GB"/>
              </w:rPr>
            </w:pPr>
            <w:r w:rsidRPr="00C46055">
              <w:rPr>
                <w:rFonts w:ascii="Calibri" w:eastAsia="Times New Roman" w:hAnsi="Calibri" w:cs="Calibri"/>
                <w:b/>
                <w:bCs/>
                <w:color w:val="000000"/>
                <w:sz w:val="22"/>
                <w:szCs w:val="22"/>
                <w:lang w:eastAsia="en-GB"/>
              </w:rPr>
              <w:t>Type of funding</w:t>
            </w:r>
          </w:p>
        </w:tc>
        <w:tc>
          <w:tcPr>
            <w:tcW w:w="1840" w:type="dxa"/>
            <w:tcBorders>
              <w:top w:val="single" w:sz="4" w:space="0" w:color="auto"/>
              <w:left w:val="nil"/>
              <w:bottom w:val="single" w:sz="4" w:space="0" w:color="auto"/>
              <w:right w:val="single" w:sz="4" w:space="0" w:color="auto"/>
            </w:tcBorders>
            <w:shd w:val="clear" w:color="auto" w:fill="00B0F0"/>
            <w:noWrap/>
            <w:vAlign w:val="bottom"/>
            <w:hideMark/>
          </w:tcPr>
          <w:p w14:paraId="3EB73A04" w14:textId="77777777" w:rsidR="00C46055" w:rsidRPr="00C46055" w:rsidRDefault="00C46055" w:rsidP="00C46055">
            <w:pPr>
              <w:spacing w:after="0" w:line="240" w:lineRule="auto"/>
              <w:rPr>
                <w:rFonts w:ascii="Calibri" w:eastAsia="Times New Roman" w:hAnsi="Calibri" w:cs="Calibri"/>
                <w:b/>
                <w:bCs/>
                <w:color w:val="000000"/>
                <w:sz w:val="22"/>
                <w:szCs w:val="22"/>
                <w:lang w:eastAsia="en-GB"/>
              </w:rPr>
            </w:pPr>
            <w:r w:rsidRPr="00C46055">
              <w:rPr>
                <w:rFonts w:ascii="Calibri" w:eastAsia="Times New Roman" w:hAnsi="Calibri" w:cs="Calibri"/>
                <w:b/>
                <w:bCs/>
                <w:color w:val="000000"/>
                <w:sz w:val="22"/>
                <w:szCs w:val="22"/>
                <w:lang w:eastAsia="en-GB"/>
              </w:rPr>
              <w:t>2024/25 Funds out</w:t>
            </w:r>
          </w:p>
        </w:tc>
      </w:tr>
      <w:tr w:rsidR="00C46055" w:rsidRPr="00C46055" w14:paraId="068E4DA0"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5EF749C" w14:textId="77777777" w:rsidR="00C46055" w:rsidRPr="00C46055" w:rsidRDefault="00C46055" w:rsidP="00C46055">
            <w:pPr>
              <w:spacing w:after="0" w:line="240" w:lineRule="auto"/>
              <w:rPr>
                <w:rFonts w:ascii="Calibri" w:eastAsia="Times New Roman" w:hAnsi="Calibri" w:cs="Calibri"/>
                <w:b/>
                <w:bCs/>
                <w:color w:val="000000"/>
                <w:sz w:val="22"/>
                <w:szCs w:val="22"/>
                <w:lang w:eastAsia="en-GB"/>
              </w:rPr>
            </w:pPr>
            <w:r w:rsidRPr="00C46055">
              <w:rPr>
                <w:rFonts w:ascii="Calibri" w:eastAsia="Times New Roman" w:hAnsi="Calibri" w:cs="Calibri"/>
                <w:b/>
                <w:bCs/>
                <w:color w:val="000000"/>
                <w:sz w:val="22"/>
                <w:szCs w:val="22"/>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E596541"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 </w:t>
            </w:r>
          </w:p>
        </w:tc>
      </w:tr>
      <w:tr w:rsidR="00C46055" w:rsidRPr="00C46055" w14:paraId="2ABCE3DC"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C44B2E4"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Affordable Housing</w:t>
            </w:r>
          </w:p>
        </w:tc>
        <w:tc>
          <w:tcPr>
            <w:tcW w:w="1840" w:type="dxa"/>
            <w:tcBorders>
              <w:top w:val="nil"/>
              <w:left w:val="nil"/>
              <w:bottom w:val="single" w:sz="4" w:space="0" w:color="auto"/>
              <w:right w:val="single" w:sz="4" w:space="0" w:color="auto"/>
            </w:tcBorders>
            <w:shd w:val="clear" w:color="auto" w:fill="auto"/>
            <w:noWrap/>
            <w:vAlign w:val="bottom"/>
            <w:hideMark/>
          </w:tcPr>
          <w:p w14:paraId="128F9E69"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£423,453.56</w:t>
            </w:r>
          </w:p>
        </w:tc>
      </w:tr>
      <w:tr w:rsidR="00C46055" w:rsidRPr="00C46055" w14:paraId="2B72263C"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B7E2DDD"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Open Space (LEAPS&amp;NEAPS)</w:t>
            </w:r>
          </w:p>
        </w:tc>
        <w:tc>
          <w:tcPr>
            <w:tcW w:w="1840" w:type="dxa"/>
            <w:tcBorders>
              <w:top w:val="nil"/>
              <w:left w:val="nil"/>
              <w:bottom w:val="single" w:sz="4" w:space="0" w:color="auto"/>
              <w:right w:val="single" w:sz="4" w:space="0" w:color="auto"/>
            </w:tcBorders>
            <w:shd w:val="clear" w:color="auto" w:fill="auto"/>
            <w:noWrap/>
            <w:vAlign w:val="bottom"/>
            <w:hideMark/>
          </w:tcPr>
          <w:p w14:paraId="22B240F1"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£52,000.00</w:t>
            </w:r>
          </w:p>
        </w:tc>
      </w:tr>
      <w:tr w:rsidR="00C46055" w:rsidRPr="00C46055" w14:paraId="4ED6B21F"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531869D"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Youth Facilities</w:t>
            </w:r>
          </w:p>
        </w:tc>
        <w:tc>
          <w:tcPr>
            <w:tcW w:w="1840" w:type="dxa"/>
            <w:tcBorders>
              <w:top w:val="nil"/>
              <w:left w:val="nil"/>
              <w:bottom w:val="single" w:sz="4" w:space="0" w:color="auto"/>
              <w:right w:val="single" w:sz="4" w:space="0" w:color="auto"/>
            </w:tcBorders>
            <w:shd w:val="clear" w:color="auto" w:fill="auto"/>
            <w:noWrap/>
            <w:vAlign w:val="bottom"/>
            <w:hideMark/>
          </w:tcPr>
          <w:p w14:paraId="6806256D"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£50,000.00</w:t>
            </w:r>
          </w:p>
        </w:tc>
      </w:tr>
      <w:tr w:rsidR="00C46055" w:rsidRPr="00C46055" w14:paraId="145FCDA5"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D7C1BD7" w14:textId="77777777" w:rsidR="00C46055" w:rsidRPr="00C46055" w:rsidRDefault="00C46055" w:rsidP="00C46055">
            <w:pPr>
              <w:spacing w:after="0" w:line="240" w:lineRule="auto"/>
              <w:rPr>
                <w:rFonts w:ascii="Calibri" w:eastAsia="Times New Roman" w:hAnsi="Calibri" w:cs="Calibri"/>
                <w:b/>
                <w:bCs/>
                <w:color w:val="000000"/>
                <w:sz w:val="22"/>
                <w:szCs w:val="22"/>
                <w:lang w:eastAsia="en-GB"/>
              </w:rPr>
            </w:pPr>
            <w:r w:rsidRPr="00C46055">
              <w:rPr>
                <w:rFonts w:ascii="Calibri" w:eastAsia="Times New Roman" w:hAnsi="Calibri" w:cs="Calibri"/>
                <w:b/>
                <w:bCs/>
                <w:color w:val="000000"/>
                <w:sz w:val="22"/>
                <w:szCs w:val="22"/>
                <w:lang w:eastAsia="en-GB"/>
              </w:rPr>
              <w:t>Total</w:t>
            </w:r>
          </w:p>
        </w:tc>
        <w:tc>
          <w:tcPr>
            <w:tcW w:w="1840" w:type="dxa"/>
            <w:tcBorders>
              <w:top w:val="nil"/>
              <w:left w:val="nil"/>
              <w:bottom w:val="single" w:sz="4" w:space="0" w:color="auto"/>
              <w:right w:val="single" w:sz="4" w:space="0" w:color="auto"/>
            </w:tcBorders>
            <w:shd w:val="clear" w:color="auto" w:fill="auto"/>
            <w:noWrap/>
            <w:vAlign w:val="bottom"/>
            <w:hideMark/>
          </w:tcPr>
          <w:p w14:paraId="3D44D302" w14:textId="77777777" w:rsidR="00C46055" w:rsidRPr="00C46055" w:rsidRDefault="00C46055" w:rsidP="00C46055">
            <w:pPr>
              <w:spacing w:after="0" w:line="240" w:lineRule="auto"/>
              <w:rPr>
                <w:rFonts w:ascii="Calibri" w:eastAsia="Times New Roman" w:hAnsi="Calibri" w:cs="Calibri"/>
                <w:b/>
                <w:bCs/>
                <w:color w:val="000000"/>
                <w:sz w:val="22"/>
                <w:szCs w:val="22"/>
                <w:lang w:eastAsia="en-GB"/>
              </w:rPr>
            </w:pPr>
            <w:r w:rsidRPr="00C46055">
              <w:rPr>
                <w:rFonts w:ascii="Calibri" w:eastAsia="Times New Roman" w:hAnsi="Calibri" w:cs="Calibri"/>
                <w:b/>
                <w:bCs/>
                <w:color w:val="000000"/>
                <w:sz w:val="22"/>
                <w:szCs w:val="22"/>
                <w:lang w:eastAsia="en-GB"/>
              </w:rPr>
              <w:t>£525,453.56</w:t>
            </w:r>
          </w:p>
        </w:tc>
      </w:tr>
      <w:tr w:rsidR="00C46055" w:rsidRPr="00C46055" w14:paraId="5274D7A2" w14:textId="77777777" w:rsidTr="00C46055">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A60E538"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2466A9D" w14:textId="77777777" w:rsidR="00C46055" w:rsidRPr="00C46055" w:rsidRDefault="00C46055" w:rsidP="00C46055">
            <w:pPr>
              <w:spacing w:after="0" w:line="240" w:lineRule="auto"/>
              <w:rPr>
                <w:rFonts w:ascii="Calibri" w:eastAsia="Times New Roman" w:hAnsi="Calibri" w:cs="Calibri"/>
                <w:color w:val="000000"/>
                <w:sz w:val="22"/>
                <w:szCs w:val="22"/>
                <w:lang w:eastAsia="en-GB"/>
              </w:rPr>
            </w:pPr>
            <w:r w:rsidRPr="00C46055">
              <w:rPr>
                <w:rFonts w:ascii="Calibri" w:eastAsia="Times New Roman" w:hAnsi="Calibri" w:cs="Calibri"/>
                <w:color w:val="000000"/>
                <w:sz w:val="22"/>
                <w:szCs w:val="22"/>
                <w:lang w:eastAsia="en-GB"/>
              </w:rPr>
              <w:t> </w:t>
            </w:r>
          </w:p>
        </w:tc>
      </w:tr>
    </w:tbl>
    <w:p w14:paraId="6DA55706" w14:textId="6A000428" w:rsidR="008D238B" w:rsidRDefault="008D238B" w:rsidP="00181EED"/>
    <w:p w14:paraId="5FEDE83D" w14:textId="77777777" w:rsidR="00140976" w:rsidRDefault="00140976" w:rsidP="00181EED">
      <w:pPr>
        <w:rPr>
          <w:rFonts w:ascii="Verdana" w:hAnsi="Verdana"/>
          <w:sz w:val="22"/>
          <w:szCs w:val="22"/>
        </w:rPr>
      </w:pPr>
    </w:p>
    <w:p w14:paraId="5225B417" w14:textId="77777777" w:rsidR="00140976" w:rsidRDefault="00140976" w:rsidP="00181EED">
      <w:pPr>
        <w:rPr>
          <w:rFonts w:ascii="Verdana" w:hAnsi="Verdana"/>
          <w:sz w:val="22"/>
          <w:szCs w:val="22"/>
        </w:rPr>
      </w:pPr>
    </w:p>
    <w:p w14:paraId="3299544A" w14:textId="77777777" w:rsidR="00140976" w:rsidRDefault="00140976" w:rsidP="00181EED">
      <w:pPr>
        <w:rPr>
          <w:rFonts w:ascii="Verdana" w:hAnsi="Verdana"/>
          <w:sz w:val="22"/>
          <w:szCs w:val="22"/>
        </w:rPr>
      </w:pPr>
    </w:p>
    <w:p w14:paraId="4899B570" w14:textId="008E1B87" w:rsidR="004901A3" w:rsidRDefault="000630F1" w:rsidP="00181EED">
      <w:pPr>
        <w:rPr>
          <w:rFonts w:ascii="Verdana" w:hAnsi="Verdana"/>
          <w:sz w:val="22"/>
          <w:szCs w:val="22"/>
        </w:rPr>
      </w:pPr>
      <w:r>
        <w:rPr>
          <w:rFonts w:ascii="Verdana" w:hAnsi="Verdana"/>
          <w:sz w:val="22"/>
          <w:szCs w:val="22"/>
        </w:rPr>
        <w:t>3.2</w:t>
      </w:r>
      <w:r>
        <w:rPr>
          <w:rFonts w:ascii="Verdana" w:hAnsi="Verdana"/>
          <w:sz w:val="22"/>
          <w:szCs w:val="22"/>
        </w:rPr>
        <w:tab/>
      </w:r>
      <w:r w:rsidR="0091709A">
        <w:rPr>
          <w:rFonts w:ascii="Verdana" w:hAnsi="Verdana"/>
          <w:sz w:val="22"/>
          <w:szCs w:val="22"/>
        </w:rPr>
        <w:t xml:space="preserve">Table </w:t>
      </w:r>
      <w:r w:rsidR="00140976">
        <w:rPr>
          <w:rFonts w:ascii="Verdana" w:hAnsi="Verdana"/>
          <w:sz w:val="22"/>
          <w:szCs w:val="22"/>
        </w:rPr>
        <w:t>3</w:t>
      </w:r>
      <w:r w:rsidR="0091709A">
        <w:rPr>
          <w:rFonts w:ascii="Verdana" w:hAnsi="Verdana"/>
          <w:sz w:val="22"/>
          <w:szCs w:val="22"/>
        </w:rPr>
        <w:t xml:space="preserve"> sets out t</w:t>
      </w:r>
      <w:r>
        <w:rPr>
          <w:rFonts w:ascii="Verdana" w:hAnsi="Verdana"/>
          <w:sz w:val="22"/>
          <w:szCs w:val="22"/>
        </w:rPr>
        <w:t xml:space="preserve">he </w:t>
      </w:r>
      <w:r w:rsidR="005975CB">
        <w:rPr>
          <w:rFonts w:ascii="Verdana" w:hAnsi="Verdana"/>
          <w:sz w:val="22"/>
          <w:szCs w:val="22"/>
        </w:rPr>
        <w:t xml:space="preserve">expenditure details of the </w:t>
      </w:r>
      <w:r>
        <w:rPr>
          <w:rFonts w:ascii="Verdana" w:hAnsi="Verdana"/>
          <w:sz w:val="22"/>
          <w:szCs w:val="22"/>
        </w:rPr>
        <w:t xml:space="preserve">funds </w:t>
      </w:r>
      <w:r w:rsidR="0091709A">
        <w:rPr>
          <w:rFonts w:ascii="Verdana" w:hAnsi="Verdana"/>
          <w:sz w:val="22"/>
          <w:szCs w:val="22"/>
        </w:rPr>
        <w:t xml:space="preserve">have been </w:t>
      </w:r>
      <w:r>
        <w:rPr>
          <w:rFonts w:ascii="Verdana" w:hAnsi="Verdana"/>
          <w:sz w:val="22"/>
          <w:szCs w:val="22"/>
        </w:rPr>
        <w:t>expended in 20</w:t>
      </w:r>
      <w:r w:rsidR="004901A3">
        <w:rPr>
          <w:rFonts w:ascii="Verdana" w:hAnsi="Verdana"/>
          <w:sz w:val="22"/>
          <w:szCs w:val="22"/>
        </w:rPr>
        <w:t>2</w:t>
      </w:r>
      <w:r w:rsidR="00C46055">
        <w:rPr>
          <w:rFonts w:ascii="Verdana" w:hAnsi="Verdana"/>
          <w:sz w:val="22"/>
          <w:szCs w:val="22"/>
        </w:rPr>
        <w:t>4</w:t>
      </w:r>
      <w:r w:rsidR="004901A3">
        <w:rPr>
          <w:rFonts w:ascii="Verdana" w:hAnsi="Verdana"/>
          <w:sz w:val="22"/>
          <w:szCs w:val="22"/>
        </w:rPr>
        <w:t>/2</w:t>
      </w:r>
      <w:r w:rsidR="00C46055">
        <w:rPr>
          <w:rFonts w:ascii="Verdana" w:hAnsi="Verdana"/>
          <w:sz w:val="22"/>
          <w:szCs w:val="22"/>
        </w:rPr>
        <w:t>5</w:t>
      </w:r>
      <w:r w:rsidR="0091709A">
        <w:rPr>
          <w:rFonts w:ascii="Verdana" w:hAnsi="Verdana"/>
          <w:sz w:val="22"/>
          <w:szCs w:val="22"/>
        </w:rPr>
        <w:t>.</w:t>
      </w:r>
    </w:p>
    <w:p w14:paraId="791F554C" w14:textId="5991EF3F" w:rsidR="0091709A" w:rsidRDefault="0091709A" w:rsidP="0091709A">
      <w:pPr>
        <w:pStyle w:val="Caption"/>
        <w:keepNext/>
      </w:pPr>
      <w:r>
        <w:t xml:space="preserve">Table </w:t>
      </w:r>
      <w:r w:rsidR="00140976">
        <w:t>3</w:t>
      </w:r>
    </w:p>
    <w:tbl>
      <w:tblPr>
        <w:tblStyle w:val="TableGrid"/>
        <w:tblW w:w="0" w:type="auto"/>
        <w:tblLook w:val="04A0" w:firstRow="1" w:lastRow="0" w:firstColumn="1" w:lastColumn="0" w:noHBand="0" w:noVBand="1"/>
      </w:tblPr>
      <w:tblGrid>
        <w:gridCol w:w="2689"/>
        <w:gridCol w:w="1783"/>
        <w:gridCol w:w="4626"/>
      </w:tblGrid>
      <w:tr w:rsidR="00EF2C2F" w14:paraId="59D46AAB" w14:textId="3631A86A" w:rsidTr="00D827A7">
        <w:tc>
          <w:tcPr>
            <w:tcW w:w="2689" w:type="dxa"/>
            <w:shd w:val="clear" w:color="auto" w:fill="00B0F0"/>
          </w:tcPr>
          <w:p w14:paraId="6F75F5CD" w14:textId="4A1247E9" w:rsidR="00EF2C2F" w:rsidRPr="00E46F92" w:rsidRDefault="00EF2C2F" w:rsidP="00181EED">
            <w:pPr>
              <w:rPr>
                <w:rFonts w:ascii="Verdana" w:hAnsi="Verdana"/>
                <w:b/>
                <w:bCs/>
                <w:sz w:val="22"/>
                <w:szCs w:val="22"/>
              </w:rPr>
            </w:pPr>
            <w:r w:rsidRPr="00E46F92">
              <w:rPr>
                <w:rFonts w:ascii="Verdana" w:hAnsi="Verdana"/>
                <w:b/>
                <w:bCs/>
                <w:sz w:val="22"/>
                <w:szCs w:val="22"/>
              </w:rPr>
              <w:t xml:space="preserve">Type of Funding </w:t>
            </w:r>
          </w:p>
        </w:tc>
        <w:tc>
          <w:tcPr>
            <w:tcW w:w="1783" w:type="dxa"/>
            <w:shd w:val="clear" w:color="auto" w:fill="00B0F0"/>
          </w:tcPr>
          <w:p w14:paraId="1B63AC44" w14:textId="0BEC1478" w:rsidR="00EF2C2F" w:rsidRPr="00E46F92" w:rsidRDefault="00EF2C2F" w:rsidP="00181EED">
            <w:pPr>
              <w:rPr>
                <w:rFonts w:ascii="Verdana" w:hAnsi="Verdana"/>
                <w:b/>
                <w:bCs/>
                <w:sz w:val="22"/>
                <w:szCs w:val="22"/>
              </w:rPr>
            </w:pPr>
            <w:r w:rsidRPr="00E46F92">
              <w:rPr>
                <w:rFonts w:ascii="Verdana" w:hAnsi="Verdana"/>
                <w:b/>
                <w:bCs/>
                <w:sz w:val="22"/>
                <w:szCs w:val="22"/>
              </w:rPr>
              <w:t>Amount</w:t>
            </w:r>
          </w:p>
        </w:tc>
        <w:tc>
          <w:tcPr>
            <w:tcW w:w="4626" w:type="dxa"/>
            <w:shd w:val="clear" w:color="auto" w:fill="00B0F0"/>
          </w:tcPr>
          <w:p w14:paraId="2A16CD1D" w14:textId="4CBDD18B" w:rsidR="00EF2C2F" w:rsidRPr="00E46F92" w:rsidRDefault="00EF2C2F" w:rsidP="00181EED">
            <w:pPr>
              <w:rPr>
                <w:rFonts w:ascii="Verdana" w:hAnsi="Verdana"/>
                <w:b/>
                <w:bCs/>
                <w:sz w:val="22"/>
                <w:szCs w:val="22"/>
              </w:rPr>
            </w:pPr>
            <w:r w:rsidRPr="00E46F92">
              <w:rPr>
                <w:rFonts w:ascii="Verdana" w:hAnsi="Verdana"/>
                <w:b/>
                <w:bCs/>
                <w:sz w:val="22"/>
                <w:szCs w:val="22"/>
              </w:rPr>
              <w:t>Project</w:t>
            </w:r>
          </w:p>
        </w:tc>
      </w:tr>
      <w:tr w:rsidR="00EF2C2F" w14:paraId="3E1CE8E3" w14:textId="7540410F" w:rsidTr="00744E19">
        <w:tc>
          <w:tcPr>
            <w:tcW w:w="2689" w:type="dxa"/>
          </w:tcPr>
          <w:p w14:paraId="450D0447" w14:textId="2E29995F" w:rsidR="00EF2C2F" w:rsidRDefault="003D7727" w:rsidP="00181EED">
            <w:pPr>
              <w:rPr>
                <w:rFonts w:ascii="Verdana" w:hAnsi="Verdana"/>
                <w:sz w:val="22"/>
                <w:szCs w:val="22"/>
              </w:rPr>
            </w:pPr>
            <w:r>
              <w:rPr>
                <w:rFonts w:ascii="Verdana" w:hAnsi="Verdana"/>
                <w:sz w:val="22"/>
                <w:szCs w:val="22"/>
              </w:rPr>
              <w:t>Affordable Housing</w:t>
            </w:r>
            <w:r w:rsidR="00224253">
              <w:rPr>
                <w:rFonts w:ascii="Verdana" w:hAnsi="Verdana"/>
                <w:sz w:val="22"/>
                <w:szCs w:val="22"/>
              </w:rPr>
              <w:t xml:space="preserve"> Projects</w:t>
            </w:r>
          </w:p>
        </w:tc>
        <w:tc>
          <w:tcPr>
            <w:tcW w:w="1783" w:type="dxa"/>
          </w:tcPr>
          <w:p w14:paraId="1F69EFB0" w14:textId="7A192CFF" w:rsidR="00EF2C2F" w:rsidRDefault="00224253" w:rsidP="00F0586E">
            <w:pPr>
              <w:jc w:val="right"/>
              <w:rPr>
                <w:rFonts w:ascii="Verdana" w:hAnsi="Verdana"/>
                <w:sz w:val="22"/>
                <w:szCs w:val="22"/>
              </w:rPr>
            </w:pPr>
            <w:r>
              <w:rPr>
                <w:rFonts w:ascii="Verdana" w:hAnsi="Verdana"/>
                <w:sz w:val="22"/>
                <w:szCs w:val="22"/>
              </w:rPr>
              <w:t>£</w:t>
            </w:r>
            <w:r w:rsidR="00C46055">
              <w:rPr>
                <w:rFonts w:ascii="Verdana" w:hAnsi="Verdana"/>
                <w:sz w:val="22"/>
                <w:szCs w:val="22"/>
              </w:rPr>
              <w:t>423,453.56</w:t>
            </w:r>
          </w:p>
        </w:tc>
        <w:tc>
          <w:tcPr>
            <w:tcW w:w="4626" w:type="dxa"/>
          </w:tcPr>
          <w:p w14:paraId="3D0CD888" w14:textId="5170FE99" w:rsidR="00EF2C2F" w:rsidRDefault="00244884" w:rsidP="00181EED">
            <w:pPr>
              <w:rPr>
                <w:rFonts w:ascii="Verdana" w:hAnsi="Verdana"/>
                <w:sz w:val="22"/>
                <w:szCs w:val="22"/>
              </w:rPr>
            </w:pPr>
            <w:r>
              <w:rPr>
                <w:rFonts w:ascii="Verdana" w:hAnsi="Verdana"/>
                <w:sz w:val="22"/>
                <w:szCs w:val="22"/>
              </w:rPr>
              <w:t xml:space="preserve">These funds were spent on the </w:t>
            </w:r>
            <w:r w:rsidR="00F62CFD">
              <w:rPr>
                <w:rFonts w:ascii="Verdana" w:hAnsi="Verdana"/>
                <w:sz w:val="22"/>
                <w:szCs w:val="22"/>
              </w:rPr>
              <w:t>purchase of Stephens House</w:t>
            </w:r>
            <w:r w:rsidR="005A765C">
              <w:rPr>
                <w:rFonts w:ascii="Verdana" w:hAnsi="Verdana"/>
                <w:sz w:val="22"/>
                <w:szCs w:val="22"/>
              </w:rPr>
              <w:t>, Maldon for use as temporary housing accommodation.</w:t>
            </w:r>
          </w:p>
        </w:tc>
      </w:tr>
      <w:tr w:rsidR="00EF2C2F" w14:paraId="6EF4E282" w14:textId="100FC7B7" w:rsidTr="00744E19">
        <w:tc>
          <w:tcPr>
            <w:tcW w:w="2689" w:type="dxa"/>
          </w:tcPr>
          <w:p w14:paraId="761F1DE9" w14:textId="7372EAA1" w:rsidR="00EF2C2F" w:rsidRDefault="005A765C" w:rsidP="00181EED">
            <w:pPr>
              <w:rPr>
                <w:rFonts w:ascii="Verdana" w:hAnsi="Verdana"/>
                <w:sz w:val="22"/>
                <w:szCs w:val="22"/>
              </w:rPr>
            </w:pPr>
            <w:r>
              <w:rPr>
                <w:rFonts w:ascii="Verdana" w:hAnsi="Verdana"/>
                <w:sz w:val="22"/>
                <w:szCs w:val="22"/>
              </w:rPr>
              <w:t>Open Space (Leaps and Neaps)</w:t>
            </w:r>
          </w:p>
        </w:tc>
        <w:tc>
          <w:tcPr>
            <w:tcW w:w="1783" w:type="dxa"/>
          </w:tcPr>
          <w:p w14:paraId="22CB5E7F" w14:textId="508DA1EE" w:rsidR="00EF2C2F" w:rsidRDefault="00F9103A" w:rsidP="00F0586E">
            <w:pPr>
              <w:jc w:val="right"/>
              <w:rPr>
                <w:rFonts w:ascii="Verdana" w:hAnsi="Verdana"/>
                <w:sz w:val="22"/>
                <w:szCs w:val="22"/>
              </w:rPr>
            </w:pPr>
            <w:r>
              <w:rPr>
                <w:rFonts w:ascii="Verdana" w:hAnsi="Verdana"/>
                <w:sz w:val="22"/>
                <w:szCs w:val="22"/>
              </w:rPr>
              <w:t>£</w:t>
            </w:r>
            <w:r w:rsidR="005A765C">
              <w:rPr>
                <w:rFonts w:ascii="Verdana" w:hAnsi="Verdana"/>
                <w:sz w:val="22"/>
                <w:szCs w:val="22"/>
              </w:rPr>
              <w:t>52,000.00</w:t>
            </w:r>
          </w:p>
        </w:tc>
        <w:tc>
          <w:tcPr>
            <w:tcW w:w="4626" w:type="dxa"/>
          </w:tcPr>
          <w:p w14:paraId="486D5ED1" w14:textId="57CFC509" w:rsidR="00EF2C2F" w:rsidRDefault="00D52A2D" w:rsidP="00181EED">
            <w:pPr>
              <w:rPr>
                <w:rFonts w:ascii="Verdana" w:hAnsi="Verdana"/>
                <w:sz w:val="22"/>
                <w:szCs w:val="22"/>
              </w:rPr>
            </w:pPr>
            <w:r>
              <w:rPr>
                <w:rFonts w:ascii="Verdana" w:hAnsi="Verdana"/>
                <w:sz w:val="22"/>
                <w:szCs w:val="22"/>
              </w:rPr>
              <w:t xml:space="preserve">To fund </w:t>
            </w:r>
            <w:r w:rsidR="00FB6FBF">
              <w:rPr>
                <w:rFonts w:ascii="Verdana" w:hAnsi="Verdana"/>
                <w:sz w:val="22"/>
                <w:szCs w:val="22"/>
              </w:rPr>
              <w:t>works on the Galleon Play area in Promenade Park, Maldon</w:t>
            </w:r>
          </w:p>
        </w:tc>
      </w:tr>
      <w:tr w:rsidR="00FB6FBF" w14:paraId="6BB6F3EC" w14:textId="77777777" w:rsidTr="00744E19">
        <w:tc>
          <w:tcPr>
            <w:tcW w:w="2689" w:type="dxa"/>
          </w:tcPr>
          <w:p w14:paraId="37E2F6A3" w14:textId="45FE7A6E" w:rsidR="00FB6FBF" w:rsidRDefault="00FB6FBF" w:rsidP="00181EED">
            <w:pPr>
              <w:rPr>
                <w:rFonts w:ascii="Verdana" w:hAnsi="Verdana"/>
                <w:sz w:val="22"/>
                <w:szCs w:val="22"/>
              </w:rPr>
            </w:pPr>
            <w:r>
              <w:rPr>
                <w:rFonts w:ascii="Verdana" w:hAnsi="Verdana"/>
                <w:sz w:val="22"/>
                <w:szCs w:val="22"/>
              </w:rPr>
              <w:t>Youth Facilities</w:t>
            </w:r>
          </w:p>
        </w:tc>
        <w:tc>
          <w:tcPr>
            <w:tcW w:w="1783" w:type="dxa"/>
          </w:tcPr>
          <w:p w14:paraId="191C995E" w14:textId="6FE3134E" w:rsidR="00FB6FBF" w:rsidRDefault="00FB6FBF" w:rsidP="00F0586E">
            <w:pPr>
              <w:jc w:val="right"/>
              <w:rPr>
                <w:rFonts w:ascii="Verdana" w:hAnsi="Verdana"/>
                <w:sz w:val="22"/>
                <w:szCs w:val="22"/>
              </w:rPr>
            </w:pPr>
            <w:r>
              <w:rPr>
                <w:rFonts w:ascii="Verdana" w:hAnsi="Verdana"/>
                <w:sz w:val="22"/>
                <w:szCs w:val="22"/>
              </w:rPr>
              <w:t>£50,000.00</w:t>
            </w:r>
          </w:p>
        </w:tc>
        <w:tc>
          <w:tcPr>
            <w:tcW w:w="4626" w:type="dxa"/>
          </w:tcPr>
          <w:p w14:paraId="79346FEE" w14:textId="11861AA3" w:rsidR="00FB6FBF" w:rsidRDefault="00C4040D" w:rsidP="00181EED">
            <w:pPr>
              <w:rPr>
                <w:rFonts w:ascii="Verdana" w:hAnsi="Verdana"/>
                <w:sz w:val="22"/>
                <w:szCs w:val="22"/>
              </w:rPr>
            </w:pPr>
            <w:r>
              <w:rPr>
                <w:rFonts w:ascii="Verdana" w:hAnsi="Verdana"/>
                <w:sz w:val="22"/>
                <w:szCs w:val="22"/>
              </w:rPr>
              <w:t>Part of the funding t</w:t>
            </w:r>
            <w:r w:rsidR="00CE531C">
              <w:rPr>
                <w:rFonts w:ascii="Verdana" w:hAnsi="Verdana"/>
                <w:sz w:val="22"/>
                <w:szCs w:val="22"/>
              </w:rPr>
              <w:t>o fund the Youth Facilities project in Maldon.</w:t>
            </w:r>
            <w:r>
              <w:rPr>
                <w:rFonts w:ascii="Verdana" w:hAnsi="Verdana"/>
                <w:sz w:val="22"/>
                <w:szCs w:val="22"/>
              </w:rPr>
              <w:t xml:space="preserve"> A project which commenced in 2024/2025.</w:t>
            </w:r>
            <w:r w:rsidR="00817A03">
              <w:rPr>
                <w:rFonts w:ascii="Verdana" w:hAnsi="Verdana"/>
                <w:sz w:val="22"/>
                <w:szCs w:val="22"/>
              </w:rPr>
              <w:t xml:space="preserve"> Spend in 2025/2026 will be to complete the project and a project for Youth Facilities in Burnham on Crouch and West Maldon. </w:t>
            </w:r>
          </w:p>
        </w:tc>
      </w:tr>
      <w:tr w:rsidR="00F531E8" w14:paraId="4FD17DBD" w14:textId="77777777" w:rsidTr="00744E19">
        <w:tc>
          <w:tcPr>
            <w:tcW w:w="2689" w:type="dxa"/>
          </w:tcPr>
          <w:p w14:paraId="4C644DD4" w14:textId="1EFA4E91" w:rsidR="00F531E8" w:rsidRPr="00F0586E" w:rsidRDefault="00F531E8" w:rsidP="00181EED">
            <w:pPr>
              <w:rPr>
                <w:rFonts w:ascii="Verdana" w:hAnsi="Verdana"/>
                <w:b/>
                <w:bCs/>
                <w:sz w:val="22"/>
                <w:szCs w:val="22"/>
              </w:rPr>
            </w:pPr>
            <w:r w:rsidRPr="00F0586E">
              <w:rPr>
                <w:rFonts w:ascii="Verdana" w:hAnsi="Verdana"/>
                <w:b/>
                <w:bCs/>
                <w:sz w:val="22"/>
                <w:szCs w:val="22"/>
              </w:rPr>
              <w:t>TOTAL</w:t>
            </w:r>
          </w:p>
        </w:tc>
        <w:tc>
          <w:tcPr>
            <w:tcW w:w="1783" w:type="dxa"/>
          </w:tcPr>
          <w:p w14:paraId="3F0AABC9" w14:textId="1A13DE18" w:rsidR="00F531E8" w:rsidRPr="00F0586E" w:rsidRDefault="00E04585" w:rsidP="00F0586E">
            <w:pPr>
              <w:jc w:val="right"/>
              <w:rPr>
                <w:rFonts w:ascii="Verdana" w:hAnsi="Verdana"/>
                <w:b/>
                <w:bCs/>
                <w:sz w:val="22"/>
                <w:szCs w:val="22"/>
              </w:rPr>
            </w:pPr>
            <w:r w:rsidRPr="00F0586E">
              <w:rPr>
                <w:rFonts w:ascii="Verdana" w:hAnsi="Verdana"/>
                <w:b/>
                <w:bCs/>
                <w:sz w:val="22"/>
                <w:szCs w:val="22"/>
              </w:rPr>
              <w:t>£</w:t>
            </w:r>
            <w:r w:rsidR="00C4040D">
              <w:rPr>
                <w:rFonts w:ascii="Verdana" w:hAnsi="Verdana"/>
                <w:b/>
                <w:bCs/>
                <w:sz w:val="22"/>
                <w:szCs w:val="22"/>
              </w:rPr>
              <w:t>525,453.56</w:t>
            </w:r>
          </w:p>
        </w:tc>
        <w:tc>
          <w:tcPr>
            <w:tcW w:w="4626" w:type="dxa"/>
          </w:tcPr>
          <w:p w14:paraId="176D1BD5" w14:textId="00F9A64E" w:rsidR="00F531E8" w:rsidRDefault="00F531E8" w:rsidP="00181EED">
            <w:pPr>
              <w:rPr>
                <w:rFonts w:ascii="Verdana" w:hAnsi="Verdana"/>
                <w:sz w:val="22"/>
                <w:szCs w:val="22"/>
              </w:rPr>
            </w:pPr>
          </w:p>
        </w:tc>
      </w:tr>
    </w:tbl>
    <w:p w14:paraId="25D6E72F" w14:textId="77777777" w:rsidR="00CA0FE3" w:rsidRDefault="00CA0FE3" w:rsidP="005B2933">
      <w:pPr>
        <w:pStyle w:val="Heading1"/>
      </w:pPr>
    </w:p>
    <w:p w14:paraId="18AB422C" w14:textId="77777777" w:rsidR="00CA0FE3" w:rsidRDefault="00CA0FE3">
      <w:pPr>
        <w:rPr>
          <w:rFonts w:asciiTheme="majorHAnsi" w:eastAsiaTheme="majorEastAsia" w:hAnsiTheme="majorHAnsi" w:cstheme="majorBidi"/>
          <w:color w:val="9D3511" w:themeColor="accent1" w:themeShade="BF"/>
          <w:sz w:val="36"/>
          <w:szCs w:val="36"/>
        </w:rPr>
      </w:pPr>
      <w:r>
        <w:br w:type="page"/>
      </w:r>
    </w:p>
    <w:p w14:paraId="03A357A4" w14:textId="406FB623" w:rsidR="00EF07F7" w:rsidRDefault="000630F1" w:rsidP="005B2933">
      <w:pPr>
        <w:pStyle w:val="Heading1"/>
      </w:pPr>
      <w:bookmarkStart w:id="5" w:name="_Toc206425395"/>
      <w:r>
        <w:lastRenderedPageBreak/>
        <w:t>4</w:t>
      </w:r>
      <w:r w:rsidR="00EF07F7">
        <w:t>.0</w:t>
      </w:r>
      <w:r w:rsidR="00EF07F7">
        <w:tab/>
      </w:r>
      <w:r w:rsidR="005B2933">
        <w:t>Total Funding Negotiated, Received and Spent Since 1992</w:t>
      </w:r>
      <w:bookmarkEnd w:id="5"/>
    </w:p>
    <w:p w14:paraId="555C28A9" w14:textId="77777777" w:rsidR="005B2933" w:rsidRDefault="005B2933" w:rsidP="00181EED"/>
    <w:p w14:paraId="7A596B9D" w14:textId="6779B88B" w:rsidR="00DA2A28" w:rsidRPr="005B2933" w:rsidRDefault="00900E2B" w:rsidP="003B4F5A">
      <w:pPr>
        <w:jc w:val="both"/>
        <w:rPr>
          <w:rFonts w:ascii="Verdana" w:hAnsi="Verdana"/>
          <w:sz w:val="22"/>
          <w:szCs w:val="22"/>
        </w:rPr>
      </w:pPr>
      <w:r w:rsidRPr="005B2933">
        <w:rPr>
          <w:rFonts w:ascii="Verdana" w:hAnsi="Verdana"/>
          <w:sz w:val="22"/>
          <w:szCs w:val="22"/>
        </w:rPr>
        <w:t>4.</w:t>
      </w:r>
      <w:r w:rsidR="003551D7" w:rsidRPr="005B2933">
        <w:rPr>
          <w:rFonts w:ascii="Verdana" w:hAnsi="Verdana"/>
          <w:sz w:val="22"/>
          <w:szCs w:val="22"/>
        </w:rPr>
        <w:t>1</w:t>
      </w:r>
      <w:r w:rsidRPr="005B2933">
        <w:rPr>
          <w:rFonts w:ascii="Verdana" w:hAnsi="Verdana"/>
          <w:sz w:val="22"/>
          <w:szCs w:val="22"/>
        </w:rPr>
        <w:tab/>
      </w:r>
      <w:r w:rsidR="003251C5" w:rsidRPr="005B2933">
        <w:rPr>
          <w:rFonts w:ascii="Verdana" w:hAnsi="Verdana"/>
          <w:sz w:val="22"/>
          <w:szCs w:val="22"/>
        </w:rPr>
        <w:t>The Council has</w:t>
      </w:r>
      <w:r w:rsidR="003551D7" w:rsidRPr="005B2933">
        <w:rPr>
          <w:rFonts w:ascii="Verdana" w:hAnsi="Verdana"/>
          <w:sz w:val="22"/>
          <w:szCs w:val="22"/>
        </w:rPr>
        <w:t>,</w:t>
      </w:r>
      <w:r w:rsidR="003251C5" w:rsidRPr="005B2933">
        <w:rPr>
          <w:rFonts w:ascii="Verdana" w:hAnsi="Verdana"/>
          <w:sz w:val="22"/>
          <w:szCs w:val="22"/>
        </w:rPr>
        <w:t xml:space="preserve"> since 1992</w:t>
      </w:r>
      <w:r w:rsidR="00CC3B31">
        <w:rPr>
          <w:rFonts w:ascii="Verdana" w:hAnsi="Verdana"/>
          <w:sz w:val="22"/>
          <w:szCs w:val="22"/>
        </w:rPr>
        <w:t>,</w:t>
      </w:r>
      <w:r w:rsidR="003251C5" w:rsidRPr="005B2933">
        <w:rPr>
          <w:rFonts w:ascii="Verdana" w:hAnsi="Verdana"/>
          <w:sz w:val="22"/>
          <w:szCs w:val="22"/>
        </w:rPr>
        <w:t xml:space="preserve"> negotiated a substantial amount of funding through S106 agreements and this section </w:t>
      </w:r>
      <w:r w:rsidR="003551D7" w:rsidRPr="005B2933">
        <w:rPr>
          <w:rFonts w:ascii="Verdana" w:hAnsi="Verdana"/>
          <w:sz w:val="22"/>
          <w:szCs w:val="22"/>
        </w:rPr>
        <w:t xml:space="preserve">sets out how much has been </w:t>
      </w:r>
      <w:r w:rsidR="00403F8C">
        <w:rPr>
          <w:rFonts w:ascii="Verdana" w:hAnsi="Verdana"/>
          <w:sz w:val="22"/>
          <w:szCs w:val="22"/>
        </w:rPr>
        <w:t>received</w:t>
      </w:r>
      <w:r w:rsidR="003551D7" w:rsidRPr="005B2933">
        <w:rPr>
          <w:rFonts w:ascii="Verdana" w:hAnsi="Verdana"/>
          <w:sz w:val="22"/>
          <w:szCs w:val="22"/>
        </w:rPr>
        <w:t xml:space="preserve">, how much has been </w:t>
      </w:r>
      <w:r w:rsidR="00403F8C">
        <w:rPr>
          <w:rFonts w:ascii="Verdana" w:hAnsi="Verdana"/>
          <w:sz w:val="22"/>
          <w:szCs w:val="22"/>
        </w:rPr>
        <w:t>spent</w:t>
      </w:r>
      <w:r w:rsidR="003551D7" w:rsidRPr="005B2933">
        <w:rPr>
          <w:rFonts w:ascii="Verdana" w:hAnsi="Verdana"/>
          <w:sz w:val="22"/>
          <w:szCs w:val="22"/>
        </w:rPr>
        <w:t xml:space="preserve"> and how much </w:t>
      </w:r>
      <w:r w:rsidR="00403F8C">
        <w:rPr>
          <w:rFonts w:ascii="Verdana" w:hAnsi="Verdana"/>
          <w:sz w:val="22"/>
          <w:szCs w:val="22"/>
        </w:rPr>
        <w:t>funding is yet to be remitted into the Council.</w:t>
      </w:r>
      <w:r w:rsidR="003551D7" w:rsidRPr="005B2933">
        <w:rPr>
          <w:rFonts w:ascii="Verdana" w:hAnsi="Verdana"/>
          <w:sz w:val="22"/>
          <w:szCs w:val="22"/>
        </w:rPr>
        <w:t xml:space="preserve">  It also sets out </w:t>
      </w:r>
      <w:r w:rsidR="00620916" w:rsidRPr="005B2933">
        <w:rPr>
          <w:rFonts w:ascii="Verdana" w:hAnsi="Verdana"/>
          <w:sz w:val="22"/>
          <w:szCs w:val="22"/>
        </w:rPr>
        <w:t xml:space="preserve">for what purpose that funding </w:t>
      </w:r>
      <w:r w:rsidR="00CC3B31">
        <w:rPr>
          <w:rFonts w:ascii="Verdana" w:hAnsi="Verdana"/>
          <w:sz w:val="22"/>
          <w:szCs w:val="22"/>
        </w:rPr>
        <w:t xml:space="preserve">has been </w:t>
      </w:r>
      <w:r w:rsidR="00620916" w:rsidRPr="005B2933">
        <w:rPr>
          <w:rFonts w:ascii="Verdana" w:hAnsi="Verdana"/>
          <w:sz w:val="22"/>
          <w:szCs w:val="22"/>
        </w:rPr>
        <w:t>used for.</w:t>
      </w:r>
      <w:r w:rsidR="003551D7" w:rsidRPr="005B2933">
        <w:rPr>
          <w:rFonts w:ascii="Verdana" w:hAnsi="Verdana"/>
          <w:sz w:val="22"/>
          <w:szCs w:val="22"/>
        </w:rPr>
        <w:t xml:space="preserve"> </w:t>
      </w:r>
    </w:p>
    <w:p w14:paraId="204B6DA6" w14:textId="34768123" w:rsidR="00ED3E0C" w:rsidRDefault="00C763AB" w:rsidP="00ED3E0C">
      <w:pPr>
        <w:pStyle w:val="Caption"/>
        <w:keepNext/>
        <w:jc w:val="both"/>
        <w:rPr>
          <w:noProof/>
        </w:rPr>
      </w:pPr>
      <w:r>
        <w:rPr>
          <w:noProof/>
        </w:rPr>
        <w:t>Chart 3</w:t>
      </w:r>
    </w:p>
    <w:p w14:paraId="6BAE6FF8" w14:textId="68FD3C9A" w:rsidR="003F660B" w:rsidRPr="003F660B" w:rsidRDefault="00403F8C" w:rsidP="003F660B">
      <w:r>
        <w:rPr>
          <w:noProof/>
        </w:rPr>
        <w:drawing>
          <wp:inline distT="0" distB="0" distL="0" distR="0" wp14:anchorId="560ACA1E" wp14:editId="010522A2">
            <wp:extent cx="6106795" cy="3883660"/>
            <wp:effectExtent l="0" t="0" r="8255" b="2540"/>
            <wp:docPr id="314198283" name="Chart 1">
              <a:extLst xmlns:a="http://schemas.openxmlformats.org/drawingml/2006/main">
                <a:ext uri="{FF2B5EF4-FFF2-40B4-BE49-F238E27FC236}">
                  <a16:creationId xmlns:a16="http://schemas.microsoft.com/office/drawing/2014/main" id="{E8027D9F-E755-FC84-7206-6772CDD88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64B771" w14:textId="77777777" w:rsidR="00946A74" w:rsidRDefault="00946A74" w:rsidP="003B4F5A">
      <w:pPr>
        <w:jc w:val="both"/>
        <w:rPr>
          <w:rFonts w:ascii="Verdana" w:hAnsi="Verdana"/>
          <w:sz w:val="22"/>
          <w:szCs w:val="22"/>
        </w:rPr>
      </w:pPr>
    </w:p>
    <w:p w14:paraId="2CDEA589" w14:textId="77777777" w:rsidR="00946A74" w:rsidRDefault="00946A74" w:rsidP="003B4F5A">
      <w:pPr>
        <w:jc w:val="both"/>
        <w:rPr>
          <w:rFonts w:ascii="Verdana" w:hAnsi="Verdana"/>
          <w:sz w:val="22"/>
          <w:szCs w:val="22"/>
        </w:rPr>
      </w:pPr>
    </w:p>
    <w:p w14:paraId="1FE0A122" w14:textId="77777777" w:rsidR="00946A74" w:rsidRDefault="00946A74" w:rsidP="003B4F5A">
      <w:pPr>
        <w:jc w:val="both"/>
        <w:rPr>
          <w:rFonts w:ascii="Verdana" w:hAnsi="Verdana"/>
          <w:sz w:val="22"/>
          <w:szCs w:val="22"/>
        </w:rPr>
      </w:pPr>
    </w:p>
    <w:p w14:paraId="11CD0105" w14:textId="77777777" w:rsidR="00946A74" w:rsidRDefault="00946A74" w:rsidP="003B4F5A">
      <w:pPr>
        <w:jc w:val="both"/>
        <w:rPr>
          <w:rFonts w:ascii="Verdana" w:hAnsi="Verdana"/>
          <w:sz w:val="22"/>
          <w:szCs w:val="22"/>
        </w:rPr>
      </w:pPr>
    </w:p>
    <w:p w14:paraId="004CA418" w14:textId="77777777" w:rsidR="00946A74" w:rsidRDefault="00946A74" w:rsidP="003B4F5A">
      <w:pPr>
        <w:jc w:val="both"/>
        <w:rPr>
          <w:rFonts w:ascii="Verdana" w:hAnsi="Verdana"/>
          <w:sz w:val="22"/>
          <w:szCs w:val="22"/>
        </w:rPr>
      </w:pPr>
    </w:p>
    <w:p w14:paraId="0A2C6875" w14:textId="77777777" w:rsidR="00946A74" w:rsidRDefault="00946A74" w:rsidP="003B4F5A">
      <w:pPr>
        <w:jc w:val="both"/>
        <w:rPr>
          <w:rFonts w:ascii="Verdana" w:hAnsi="Verdana"/>
          <w:sz w:val="22"/>
          <w:szCs w:val="22"/>
        </w:rPr>
      </w:pPr>
    </w:p>
    <w:p w14:paraId="50841B1F" w14:textId="77777777" w:rsidR="00946A74" w:rsidRDefault="00946A74" w:rsidP="003B4F5A">
      <w:pPr>
        <w:jc w:val="both"/>
        <w:rPr>
          <w:rFonts w:ascii="Verdana" w:hAnsi="Verdana"/>
          <w:sz w:val="22"/>
          <w:szCs w:val="22"/>
        </w:rPr>
      </w:pPr>
    </w:p>
    <w:p w14:paraId="6E586854" w14:textId="77777777" w:rsidR="00946A74" w:rsidRDefault="00946A74" w:rsidP="003B4F5A">
      <w:pPr>
        <w:jc w:val="both"/>
        <w:rPr>
          <w:rFonts w:ascii="Verdana" w:hAnsi="Verdana"/>
          <w:sz w:val="22"/>
          <w:szCs w:val="22"/>
        </w:rPr>
      </w:pPr>
    </w:p>
    <w:p w14:paraId="4000898E" w14:textId="77777777" w:rsidR="00946A74" w:rsidRDefault="00946A74" w:rsidP="003B4F5A">
      <w:pPr>
        <w:jc w:val="both"/>
        <w:rPr>
          <w:rFonts w:ascii="Verdana" w:hAnsi="Verdana"/>
          <w:sz w:val="22"/>
          <w:szCs w:val="22"/>
        </w:rPr>
      </w:pPr>
    </w:p>
    <w:p w14:paraId="65C2C0B4" w14:textId="77777777" w:rsidR="00946A74" w:rsidRDefault="00946A74" w:rsidP="003B4F5A">
      <w:pPr>
        <w:jc w:val="both"/>
        <w:rPr>
          <w:rFonts w:ascii="Verdana" w:hAnsi="Verdana"/>
          <w:sz w:val="22"/>
          <w:szCs w:val="22"/>
        </w:rPr>
      </w:pPr>
    </w:p>
    <w:p w14:paraId="54C393D7" w14:textId="77777777" w:rsidR="00946A74" w:rsidRDefault="00946A74" w:rsidP="003B4F5A">
      <w:pPr>
        <w:jc w:val="both"/>
        <w:rPr>
          <w:rFonts w:ascii="Verdana" w:hAnsi="Verdana"/>
          <w:sz w:val="22"/>
          <w:szCs w:val="22"/>
        </w:rPr>
      </w:pPr>
    </w:p>
    <w:p w14:paraId="48C4323E" w14:textId="77777777" w:rsidR="00946A74" w:rsidRDefault="00946A74" w:rsidP="003B4F5A">
      <w:pPr>
        <w:jc w:val="both"/>
        <w:rPr>
          <w:rFonts w:ascii="Verdana" w:hAnsi="Verdana"/>
          <w:sz w:val="22"/>
          <w:szCs w:val="22"/>
        </w:rPr>
      </w:pPr>
    </w:p>
    <w:p w14:paraId="2D2740B0" w14:textId="29C848F8" w:rsidR="00B35C82" w:rsidRDefault="00956EA3" w:rsidP="003B4F5A">
      <w:pPr>
        <w:jc w:val="both"/>
        <w:rPr>
          <w:rFonts w:ascii="Verdana" w:hAnsi="Verdana"/>
          <w:sz w:val="22"/>
          <w:szCs w:val="22"/>
        </w:rPr>
      </w:pPr>
      <w:r>
        <w:rPr>
          <w:rFonts w:ascii="Verdana" w:hAnsi="Verdana"/>
          <w:sz w:val="22"/>
          <w:szCs w:val="22"/>
        </w:rPr>
        <w:lastRenderedPageBreak/>
        <w:t>Chart 4</w:t>
      </w:r>
    </w:p>
    <w:p w14:paraId="45D37304" w14:textId="48567A3A" w:rsidR="00956EA3" w:rsidRPr="005B2933" w:rsidRDefault="00BA26D0" w:rsidP="003B4F5A">
      <w:pPr>
        <w:jc w:val="both"/>
        <w:rPr>
          <w:rFonts w:ascii="Verdana" w:hAnsi="Verdana"/>
          <w:sz w:val="22"/>
          <w:szCs w:val="22"/>
        </w:rPr>
      </w:pPr>
      <w:r>
        <w:rPr>
          <w:noProof/>
        </w:rPr>
        <w:drawing>
          <wp:inline distT="0" distB="0" distL="0" distR="0" wp14:anchorId="389BD03F" wp14:editId="1384DCAD">
            <wp:extent cx="6106795" cy="3883660"/>
            <wp:effectExtent l="0" t="0" r="8255" b="2540"/>
            <wp:docPr id="765407738" name="Chart 1">
              <a:extLst xmlns:a="http://schemas.openxmlformats.org/drawingml/2006/main">
                <a:ext uri="{FF2B5EF4-FFF2-40B4-BE49-F238E27FC236}">
                  <a16:creationId xmlns:a16="http://schemas.microsoft.com/office/drawing/2014/main" id="{E8027D9F-E755-FC84-7206-6772CDD88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E33303" w14:textId="7A8D4FA3" w:rsidR="00C56109" w:rsidRDefault="00C56109" w:rsidP="00C56109">
      <w:pPr>
        <w:pStyle w:val="Caption"/>
        <w:keepNext/>
      </w:pPr>
      <w:r>
        <w:t xml:space="preserve">Table </w:t>
      </w:r>
      <w:r w:rsidR="00636DAD">
        <w:t>4</w:t>
      </w:r>
    </w:p>
    <w:tbl>
      <w:tblPr>
        <w:tblW w:w="9240" w:type="dxa"/>
        <w:tblLook w:val="04A0" w:firstRow="1" w:lastRow="0" w:firstColumn="1" w:lastColumn="0" w:noHBand="0" w:noVBand="1"/>
      </w:tblPr>
      <w:tblGrid>
        <w:gridCol w:w="2660"/>
        <w:gridCol w:w="2340"/>
        <w:gridCol w:w="2040"/>
        <w:gridCol w:w="2200"/>
      </w:tblGrid>
      <w:tr w:rsidR="00946A74" w:rsidRPr="00946A74" w14:paraId="19E0B34F" w14:textId="77777777" w:rsidTr="00946A74">
        <w:trPr>
          <w:trHeight w:val="288"/>
        </w:trPr>
        <w:tc>
          <w:tcPr>
            <w:tcW w:w="26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3A2F41C" w14:textId="77777777" w:rsidR="00946A74" w:rsidRPr="00946A74" w:rsidRDefault="00946A74" w:rsidP="00946A74">
            <w:pPr>
              <w:spacing w:after="0" w:line="240" w:lineRule="auto"/>
              <w:rPr>
                <w:rFonts w:ascii="Calibri" w:eastAsia="Times New Roman" w:hAnsi="Calibri" w:cs="Calibri"/>
                <w:b/>
                <w:bCs/>
                <w:color w:val="000000"/>
                <w:sz w:val="22"/>
                <w:szCs w:val="22"/>
                <w:lang w:eastAsia="en-GB"/>
              </w:rPr>
            </w:pPr>
            <w:r w:rsidRPr="00946A74">
              <w:rPr>
                <w:rFonts w:ascii="Calibri" w:eastAsia="Times New Roman" w:hAnsi="Calibri" w:cs="Calibri"/>
                <w:b/>
                <w:bCs/>
                <w:color w:val="000000"/>
                <w:sz w:val="22"/>
                <w:szCs w:val="22"/>
                <w:lang w:eastAsia="en-GB"/>
              </w:rPr>
              <w:t>Type of funding</w:t>
            </w:r>
          </w:p>
        </w:tc>
        <w:tc>
          <w:tcPr>
            <w:tcW w:w="2340" w:type="dxa"/>
            <w:tcBorders>
              <w:top w:val="single" w:sz="4" w:space="0" w:color="auto"/>
              <w:left w:val="nil"/>
              <w:bottom w:val="single" w:sz="4" w:space="0" w:color="auto"/>
              <w:right w:val="single" w:sz="4" w:space="0" w:color="auto"/>
            </w:tcBorders>
            <w:shd w:val="clear" w:color="auto" w:fill="00B0F0"/>
            <w:noWrap/>
            <w:vAlign w:val="bottom"/>
            <w:hideMark/>
          </w:tcPr>
          <w:p w14:paraId="1D7B8095" w14:textId="77777777" w:rsidR="00946A74" w:rsidRPr="00946A74" w:rsidRDefault="00946A74" w:rsidP="00946A74">
            <w:pPr>
              <w:spacing w:after="0" w:line="240" w:lineRule="auto"/>
              <w:rPr>
                <w:rFonts w:ascii="Calibri" w:eastAsia="Times New Roman" w:hAnsi="Calibri" w:cs="Calibri"/>
                <w:b/>
                <w:bCs/>
                <w:color w:val="000000"/>
                <w:sz w:val="22"/>
                <w:szCs w:val="22"/>
                <w:lang w:eastAsia="en-GB"/>
              </w:rPr>
            </w:pPr>
            <w:r w:rsidRPr="00946A74">
              <w:rPr>
                <w:rFonts w:ascii="Calibri" w:eastAsia="Times New Roman" w:hAnsi="Calibri" w:cs="Calibri"/>
                <w:b/>
                <w:bCs/>
                <w:color w:val="000000"/>
                <w:sz w:val="22"/>
                <w:szCs w:val="22"/>
                <w:lang w:eastAsia="en-GB"/>
              </w:rPr>
              <w:t>Amount Received</w:t>
            </w:r>
          </w:p>
        </w:tc>
        <w:tc>
          <w:tcPr>
            <w:tcW w:w="2040" w:type="dxa"/>
            <w:tcBorders>
              <w:top w:val="single" w:sz="4" w:space="0" w:color="auto"/>
              <w:left w:val="nil"/>
              <w:bottom w:val="single" w:sz="4" w:space="0" w:color="auto"/>
              <w:right w:val="single" w:sz="4" w:space="0" w:color="auto"/>
            </w:tcBorders>
            <w:shd w:val="clear" w:color="auto" w:fill="00B0F0"/>
            <w:noWrap/>
            <w:vAlign w:val="bottom"/>
            <w:hideMark/>
          </w:tcPr>
          <w:p w14:paraId="2600A6A0" w14:textId="77777777" w:rsidR="00946A74" w:rsidRPr="00946A74" w:rsidRDefault="00946A74" w:rsidP="00946A74">
            <w:pPr>
              <w:spacing w:after="0" w:line="240" w:lineRule="auto"/>
              <w:rPr>
                <w:rFonts w:ascii="Calibri" w:eastAsia="Times New Roman" w:hAnsi="Calibri" w:cs="Calibri"/>
                <w:b/>
                <w:bCs/>
                <w:color w:val="000000"/>
                <w:sz w:val="22"/>
                <w:szCs w:val="22"/>
                <w:lang w:eastAsia="en-GB"/>
              </w:rPr>
            </w:pPr>
            <w:r w:rsidRPr="00946A74">
              <w:rPr>
                <w:rFonts w:ascii="Calibri" w:eastAsia="Times New Roman" w:hAnsi="Calibri" w:cs="Calibri"/>
                <w:b/>
                <w:bCs/>
                <w:color w:val="000000"/>
                <w:sz w:val="22"/>
                <w:szCs w:val="22"/>
                <w:lang w:eastAsia="en-GB"/>
              </w:rPr>
              <w:t>Amount Spent</w:t>
            </w:r>
          </w:p>
        </w:tc>
        <w:tc>
          <w:tcPr>
            <w:tcW w:w="2200" w:type="dxa"/>
            <w:tcBorders>
              <w:top w:val="single" w:sz="4" w:space="0" w:color="auto"/>
              <w:left w:val="nil"/>
              <w:bottom w:val="single" w:sz="4" w:space="0" w:color="auto"/>
              <w:right w:val="single" w:sz="4" w:space="0" w:color="auto"/>
            </w:tcBorders>
            <w:shd w:val="clear" w:color="auto" w:fill="00B0F0"/>
            <w:noWrap/>
            <w:vAlign w:val="bottom"/>
            <w:hideMark/>
          </w:tcPr>
          <w:p w14:paraId="02052172" w14:textId="77777777" w:rsidR="00946A74" w:rsidRPr="00946A74" w:rsidRDefault="00946A74" w:rsidP="00946A74">
            <w:pPr>
              <w:spacing w:after="0" w:line="240" w:lineRule="auto"/>
              <w:rPr>
                <w:rFonts w:ascii="Calibri" w:eastAsia="Times New Roman" w:hAnsi="Calibri" w:cs="Calibri"/>
                <w:b/>
                <w:bCs/>
                <w:color w:val="000000"/>
                <w:sz w:val="22"/>
                <w:szCs w:val="22"/>
                <w:lang w:eastAsia="en-GB"/>
              </w:rPr>
            </w:pPr>
            <w:r w:rsidRPr="00946A74">
              <w:rPr>
                <w:rFonts w:ascii="Calibri" w:eastAsia="Times New Roman" w:hAnsi="Calibri" w:cs="Calibri"/>
                <w:b/>
                <w:bCs/>
                <w:color w:val="000000"/>
                <w:sz w:val="22"/>
                <w:szCs w:val="22"/>
                <w:lang w:eastAsia="en-GB"/>
              </w:rPr>
              <w:t xml:space="preserve">Amount left to Remit </w:t>
            </w:r>
          </w:p>
        </w:tc>
      </w:tr>
      <w:tr w:rsidR="00946A74" w:rsidRPr="00946A74" w14:paraId="1A31F68A"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C4BAD93"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Affordable Housing</w:t>
            </w:r>
          </w:p>
        </w:tc>
        <w:tc>
          <w:tcPr>
            <w:tcW w:w="2340" w:type="dxa"/>
            <w:tcBorders>
              <w:top w:val="nil"/>
              <w:left w:val="nil"/>
              <w:bottom w:val="single" w:sz="4" w:space="0" w:color="auto"/>
              <w:right w:val="single" w:sz="4" w:space="0" w:color="auto"/>
            </w:tcBorders>
            <w:shd w:val="clear" w:color="auto" w:fill="auto"/>
            <w:noWrap/>
            <w:vAlign w:val="bottom"/>
            <w:hideMark/>
          </w:tcPr>
          <w:p w14:paraId="5E4EC302"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£906,951.72</w:t>
            </w:r>
          </w:p>
        </w:tc>
        <w:tc>
          <w:tcPr>
            <w:tcW w:w="2040" w:type="dxa"/>
            <w:tcBorders>
              <w:top w:val="nil"/>
              <w:left w:val="nil"/>
              <w:bottom w:val="single" w:sz="4" w:space="0" w:color="auto"/>
              <w:right w:val="single" w:sz="4" w:space="0" w:color="auto"/>
            </w:tcBorders>
            <w:shd w:val="clear" w:color="auto" w:fill="auto"/>
            <w:noWrap/>
            <w:vAlign w:val="bottom"/>
            <w:hideMark/>
          </w:tcPr>
          <w:p w14:paraId="0E9BFF11"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£896,951.72</w:t>
            </w:r>
          </w:p>
        </w:tc>
        <w:tc>
          <w:tcPr>
            <w:tcW w:w="2200" w:type="dxa"/>
            <w:tcBorders>
              <w:top w:val="nil"/>
              <w:left w:val="nil"/>
              <w:bottom w:val="single" w:sz="4" w:space="0" w:color="auto"/>
              <w:right w:val="single" w:sz="4" w:space="0" w:color="auto"/>
            </w:tcBorders>
            <w:shd w:val="clear" w:color="auto" w:fill="auto"/>
            <w:noWrap/>
            <w:vAlign w:val="bottom"/>
            <w:hideMark/>
          </w:tcPr>
          <w:p w14:paraId="1194F2C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£47,199.00</w:t>
            </w:r>
          </w:p>
        </w:tc>
      </w:tr>
      <w:tr w:rsidR="00946A74" w:rsidRPr="00946A74" w14:paraId="0EB53BC4"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9CBBB7E"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Health</w:t>
            </w:r>
          </w:p>
        </w:tc>
        <w:tc>
          <w:tcPr>
            <w:tcW w:w="2340" w:type="dxa"/>
            <w:tcBorders>
              <w:top w:val="nil"/>
              <w:left w:val="nil"/>
              <w:bottom w:val="single" w:sz="4" w:space="0" w:color="auto"/>
              <w:right w:val="single" w:sz="4" w:space="0" w:color="auto"/>
            </w:tcBorders>
            <w:shd w:val="clear" w:color="auto" w:fill="auto"/>
            <w:noWrap/>
            <w:vAlign w:val="bottom"/>
            <w:hideMark/>
          </w:tcPr>
          <w:p w14:paraId="67E47C7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£885,593.07</w:t>
            </w:r>
          </w:p>
        </w:tc>
        <w:tc>
          <w:tcPr>
            <w:tcW w:w="2040" w:type="dxa"/>
            <w:tcBorders>
              <w:top w:val="nil"/>
              <w:left w:val="nil"/>
              <w:bottom w:val="single" w:sz="4" w:space="0" w:color="auto"/>
              <w:right w:val="single" w:sz="4" w:space="0" w:color="auto"/>
            </w:tcBorders>
            <w:shd w:val="clear" w:color="auto" w:fill="auto"/>
            <w:noWrap/>
            <w:vAlign w:val="bottom"/>
            <w:hideMark/>
          </w:tcPr>
          <w:p w14:paraId="43876A5F"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£52,861.44</w:t>
            </w:r>
          </w:p>
        </w:tc>
        <w:tc>
          <w:tcPr>
            <w:tcW w:w="2200" w:type="dxa"/>
            <w:tcBorders>
              <w:top w:val="nil"/>
              <w:left w:val="nil"/>
              <w:bottom w:val="single" w:sz="4" w:space="0" w:color="auto"/>
              <w:right w:val="single" w:sz="4" w:space="0" w:color="auto"/>
            </w:tcBorders>
            <w:shd w:val="clear" w:color="auto" w:fill="auto"/>
            <w:noWrap/>
            <w:vAlign w:val="bottom"/>
            <w:hideMark/>
          </w:tcPr>
          <w:p w14:paraId="3D089E7F"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£1,035,820.04</w:t>
            </w:r>
          </w:p>
        </w:tc>
      </w:tr>
      <w:tr w:rsidR="00946A74" w:rsidRPr="00946A74" w14:paraId="68DA95B3"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9C28892"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w:t>
            </w:r>
          </w:p>
        </w:tc>
        <w:tc>
          <w:tcPr>
            <w:tcW w:w="2340" w:type="dxa"/>
            <w:tcBorders>
              <w:top w:val="nil"/>
              <w:left w:val="nil"/>
              <w:bottom w:val="single" w:sz="4" w:space="0" w:color="auto"/>
              <w:right w:val="single" w:sz="4" w:space="0" w:color="auto"/>
            </w:tcBorders>
            <w:shd w:val="clear" w:color="auto" w:fill="auto"/>
            <w:noWrap/>
            <w:vAlign w:val="bottom"/>
            <w:hideMark/>
          </w:tcPr>
          <w:p w14:paraId="16FE35FD"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£23,440.00</w:t>
            </w:r>
          </w:p>
        </w:tc>
        <w:tc>
          <w:tcPr>
            <w:tcW w:w="2040" w:type="dxa"/>
            <w:tcBorders>
              <w:top w:val="nil"/>
              <w:left w:val="nil"/>
              <w:bottom w:val="single" w:sz="4" w:space="0" w:color="auto"/>
              <w:right w:val="single" w:sz="4" w:space="0" w:color="auto"/>
            </w:tcBorders>
            <w:shd w:val="clear" w:color="auto" w:fill="auto"/>
            <w:noWrap/>
            <w:vAlign w:val="bottom"/>
            <w:hideMark/>
          </w:tcPr>
          <w:p w14:paraId="3169E26F"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£23,440.00</w:t>
            </w:r>
          </w:p>
        </w:tc>
        <w:tc>
          <w:tcPr>
            <w:tcW w:w="2200" w:type="dxa"/>
            <w:tcBorders>
              <w:top w:val="nil"/>
              <w:left w:val="nil"/>
              <w:bottom w:val="single" w:sz="4" w:space="0" w:color="auto"/>
              <w:right w:val="single" w:sz="4" w:space="0" w:color="auto"/>
            </w:tcBorders>
            <w:shd w:val="clear" w:color="auto" w:fill="auto"/>
            <w:noWrap/>
            <w:vAlign w:val="bottom"/>
            <w:hideMark/>
          </w:tcPr>
          <w:p w14:paraId="462086A7"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750E7272"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4ADD67C"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 (LEAPS&amp;NEAPS)</w:t>
            </w:r>
          </w:p>
        </w:tc>
        <w:tc>
          <w:tcPr>
            <w:tcW w:w="2340" w:type="dxa"/>
            <w:tcBorders>
              <w:top w:val="nil"/>
              <w:left w:val="nil"/>
              <w:bottom w:val="single" w:sz="4" w:space="0" w:color="auto"/>
              <w:right w:val="single" w:sz="4" w:space="0" w:color="auto"/>
            </w:tcBorders>
            <w:shd w:val="clear" w:color="auto" w:fill="auto"/>
            <w:noWrap/>
            <w:vAlign w:val="bottom"/>
            <w:hideMark/>
          </w:tcPr>
          <w:p w14:paraId="3C0A2073"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£116,121.62</w:t>
            </w:r>
          </w:p>
        </w:tc>
        <w:tc>
          <w:tcPr>
            <w:tcW w:w="2040" w:type="dxa"/>
            <w:tcBorders>
              <w:top w:val="nil"/>
              <w:left w:val="nil"/>
              <w:bottom w:val="single" w:sz="4" w:space="0" w:color="auto"/>
              <w:right w:val="single" w:sz="4" w:space="0" w:color="auto"/>
            </w:tcBorders>
            <w:shd w:val="clear" w:color="auto" w:fill="auto"/>
            <w:noWrap/>
            <w:vAlign w:val="bottom"/>
            <w:hideMark/>
          </w:tcPr>
          <w:p w14:paraId="6B8BA79A"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£63,291.62</w:t>
            </w:r>
          </w:p>
        </w:tc>
        <w:tc>
          <w:tcPr>
            <w:tcW w:w="2200" w:type="dxa"/>
            <w:tcBorders>
              <w:top w:val="nil"/>
              <w:left w:val="nil"/>
              <w:bottom w:val="single" w:sz="4" w:space="0" w:color="auto"/>
              <w:right w:val="single" w:sz="4" w:space="0" w:color="auto"/>
            </w:tcBorders>
            <w:shd w:val="clear" w:color="auto" w:fill="auto"/>
            <w:noWrap/>
            <w:vAlign w:val="bottom"/>
            <w:hideMark/>
          </w:tcPr>
          <w:p w14:paraId="67A9B841"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£34,560.00</w:t>
            </w:r>
          </w:p>
        </w:tc>
      </w:tr>
      <w:tr w:rsidR="00946A74" w:rsidRPr="00946A74" w14:paraId="60FD680F"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64981A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 (SUDS)</w:t>
            </w:r>
          </w:p>
        </w:tc>
        <w:tc>
          <w:tcPr>
            <w:tcW w:w="2340" w:type="dxa"/>
            <w:tcBorders>
              <w:top w:val="nil"/>
              <w:left w:val="nil"/>
              <w:bottom w:val="single" w:sz="4" w:space="0" w:color="auto"/>
              <w:right w:val="single" w:sz="4" w:space="0" w:color="auto"/>
            </w:tcBorders>
            <w:shd w:val="clear" w:color="auto" w:fill="auto"/>
            <w:noWrap/>
            <w:vAlign w:val="bottom"/>
            <w:hideMark/>
          </w:tcPr>
          <w:p w14:paraId="0CFF3EBB"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040" w:type="dxa"/>
            <w:tcBorders>
              <w:top w:val="nil"/>
              <w:left w:val="nil"/>
              <w:bottom w:val="single" w:sz="4" w:space="0" w:color="auto"/>
              <w:right w:val="single" w:sz="4" w:space="0" w:color="auto"/>
            </w:tcBorders>
            <w:shd w:val="clear" w:color="auto" w:fill="auto"/>
            <w:noWrap/>
            <w:vAlign w:val="bottom"/>
            <w:hideMark/>
          </w:tcPr>
          <w:p w14:paraId="371650B8"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200" w:type="dxa"/>
            <w:tcBorders>
              <w:top w:val="nil"/>
              <w:left w:val="nil"/>
              <w:bottom w:val="single" w:sz="4" w:space="0" w:color="auto"/>
              <w:right w:val="single" w:sz="4" w:space="0" w:color="auto"/>
            </w:tcBorders>
            <w:shd w:val="clear" w:color="auto" w:fill="auto"/>
            <w:noWrap/>
            <w:vAlign w:val="bottom"/>
            <w:hideMark/>
          </w:tcPr>
          <w:p w14:paraId="6E2372F1"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5986BC0A"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48DDF7D"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 (Allotment)</w:t>
            </w:r>
          </w:p>
        </w:tc>
        <w:tc>
          <w:tcPr>
            <w:tcW w:w="2340" w:type="dxa"/>
            <w:tcBorders>
              <w:top w:val="nil"/>
              <w:left w:val="nil"/>
              <w:bottom w:val="single" w:sz="4" w:space="0" w:color="auto"/>
              <w:right w:val="single" w:sz="4" w:space="0" w:color="auto"/>
            </w:tcBorders>
            <w:shd w:val="clear" w:color="auto" w:fill="auto"/>
            <w:noWrap/>
            <w:vAlign w:val="bottom"/>
            <w:hideMark/>
          </w:tcPr>
          <w:p w14:paraId="01C3A8AA"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£15,999.41</w:t>
            </w:r>
          </w:p>
        </w:tc>
        <w:tc>
          <w:tcPr>
            <w:tcW w:w="2040" w:type="dxa"/>
            <w:tcBorders>
              <w:top w:val="nil"/>
              <w:left w:val="nil"/>
              <w:bottom w:val="single" w:sz="4" w:space="0" w:color="auto"/>
              <w:right w:val="single" w:sz="4" w:space="0" w:color="auto"/>
            </w:tcBorders>
            <w:shd w:val="clear" w:color="auto" w:fill="auto"/>
            <w:noWrap/>
            <w:vAlign w:val="bottom"/>
            <w:hideMark/>
          </w:tcPr>
          <w:p w14:paraId="4A2A24C0"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£8,000.00</w:t>
            </w:r>
          </w:p>
        </w:tc>
        <w:tc>
          <w:tcPr>
            <w:tcW w:w="2200" w:type="dxa"/>
            <w:tcBorders>
              <w:top w:val="nil"/>
              <w:left w:val="nil"/>
              <w:bottom w:val="single" w:sz="4" w:space="0" w:color="auto"/>
              <w:right w:val="single" w:sz="4" w:space="0" w:color="auto"/>
            </w:tcBorders>
            <w:shd w:val="clear" w:color="auto" w:fill="auto"/>
            <w:noWrap/>
            <w:vAlign w:val="bottom"/>
            <w:hideMark/>
          </w:tcPr>
          <w:p w14:paraId="4DD0ACEC"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£14,520.00</w:t>
            </w:r>
          </w:p>
        </w:tc>
      </w:tr>
      <w:tr w:rsidR="00946A74" w:rsidRPr="00946A74" w14:paraId="00FDB087"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0E8B176"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Space/Ecology</w:t>
            </w:r>
          </w:p>
        </w:tc>
        <w:tc>
          <w:tcPr>
            <w:tcW w:w="2340" w:type="dxa"/>
            <w:tcBorders>
              <w:top w:val="nil"/>
              <w:left w:val="nil"/>
              <w:bottom w:val="single" w:sz="4" w:space="0" w:color="auto"/>
              <w:right w:val="single" w:sz="4" w:space="0" w:color="auto"/>
            </w:tcBorders>
            <w:shd w:val="clear" w:color="auto" w:fill="auto"/>
            <w:noWrap/>
            <w:vAlign w:val="bottom"/>
            <w:hideMark/>
          </w:tcPr>
          <w:p w14:paraId="19ECCFF0"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£49,808.45</w:t>
            </w:r>
          </w:p>
        </w:tc>
        <w:tc>
          <w:tcPr>
            <w:tcW w:w="2040" w:type="dxa"/>
            <w:tcBorders>
              <w:top w:val="nil"/>
              <w:left w:val="nil"/>
              <w:bottom w:val="single" w:sz="4" w:space="0" w:color="auto"/>
              <w:right w:val="single" w:sz="4" w:space="0" w:color="auto"/>
            </w:tcBorders>
            <w:shd w:val="clear" w:color="auto" w:fill="auto"/>
            <w:noWrap/>
            <w:vAlign w:val="bottom"/>
            <w:hideMark/>
          </w:tcPr>
          <w:p w14:paraId="2CF1FC63"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£49,808.45</w:t>
            </w:r>
          </w:p>
        </w:tc>
        <w:tc>
          <w:tcPr>
            <w:tcW w:w="2200" w:type="dxa"/>
            <w:tcBorders>
              <w:top w:val="nil"/>
              <w:left w:val="nil"/>
              <w:bottom w:val="single" w:sz="4" w:space="0" w:color="auto"/>
              <w:right w:val="single" w:sz="4" w:space="0" w:color="auto"/>
            </w:tcBorders>
            <w:shd w:val="clear" w:color="auto" w:fill="auto"/>
            <w:noWrap/>
            <w:vAlign w:val="bottom"/>
            <w:hideMark/>
          </w:tcPr>
          <w:p w14:paraId="5A6C1F68"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1280D31C"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F69D30F"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Open Space (Sports)</w:t>
            </w:r>
          </w:p>
        </w:tc>
        <w:tc>
          <w:tcPr>
            <w:tcW w:w="2340" w:type="dxa"/>
            <w:tcBorders>
              <w:top w:val="nil"/>
              <w:left w:val="nil"/>
              <w:bottom w:val="single" w:sz="4" w:space="0" w:color="auto"/>
              <w:right w:val="single" w:sz="4" w:space="0" w:color="auto"/>
            </w:tcBorders>
            <w:shd w:val="clear" w:color="auto" w:fill="auto"/>
            <w:noWrap/>
            <w:vAlign w:val="bottom"/>
            <w:hideMark/>
          </w:tcPr>
          <w:p w14:paraId="39D299C7"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£85,375.00</w:t>
            </w:r>
          </w:p>
        </w:tc>
        <w:tc>
          <w:tcPr>
            <w:tcW w:w="2040" w:type="dxa"/>
            <w:tcBorders>
              <w:top w:val="nil"/>
              <w:left w:val="nil"/>
              <w:bottom w:val="single" w:sz="4" w:space="0" w:color="auto"/>
              <w:right w:val="single" w:sz="4" w:space="0" w:color="auto"/>
            </w:tcBorders>
            <w:shd w:val="clear" w:color="auto" w:fill="auto"/>
            <w:noWrap/>
            <w:vAlign w:val="bottom"/>
            <w:hideMark/>
          </w:tcPr>
          <w:p w14:paraId="5F623687"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£85,375.00</w:t>
            </w:r>
          </w:p>
        </w:tc>
        <w:tc>
          <w:tcPr>
            <w:tcW w:w="2200" w:type="dxa"/>
            <w:tcBorders>
              <w:top w:val="nil"/>
              <w:left w:val="nil"/>
              <w:bottom w:val="single" w:sz="4" w:space="0" w:color="auto"/>
              <w:right w:val="single" w:sz="4" w:space="0" w:color="auto"/>
            </w:tcBorders>
            <w:shd w:val="clear" w:color="auto" w:fill="auto"/>
            <w:noWrap/>
            <w:vAlign w:val="bottom"/>
            <w:hideMark/>
          </w:tcPr>
          <w:p w14:paraId="55D2C949"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75AB03E3"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32F87A0"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Monitoring Environment</w:t>
            </w:r>
          </w:p>
        </w:tc>
        <w:tc>
          <w:tcPr>
            <w:tcW w:w="2340" w:type="dxa"/>
            <w:tcBorders>
              <w:top w:val="nil"/>
              <w:left w:val="nil"/>
              <w:bottom w:val="single" w:sz="4" w:space="0" w:color="auto"/>
              <w:right w:val="single" w:sz="4" w:space="0" w:color="auto"/>
            </w:tcBorders>
            <w:shd w:val="clear" w:color="auto" w:fill="auto"/>
            <w:noWrap/>
            <w:vAlign w:val="bottom"/>
            <w:hideMark/>
          </w:tcPr>
          <w:p w14:paraId="0172F6A5"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040" w:type="dxa"/>
            <w:tcBorders>
              <w:top w:val="nil"/>
              <w:left w:val="nil"/>
              <w:bottom w:val="single" w:sz="4" w:space="0" w:color="auto"/>
              <w:right w:val="single" w:sz="4" w:space="0" w:color="auto"/>
            </w:tcBorders>
            <w:shd w:val="clear" w:color="auto" w:fill="auto"/>
            <w:noWrap/>
            <w:vAlign w:val="bottom"/>
            <w:hideMark/>
          </w:tcPr>
          <w:p w14:paraId="326CD29D"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200" w:type="dxa"/>
            <w:tcBorders>
              <w:top w:val="nil"/>
              <w:left w:val="nil"/>
              <w:bottom w:val="single" w:sz="4" w:space="0" w:color="auto"/>
              <w:right w:val="single" w:sz="4" w:space="0" w:color="auto"/>
            </w:tcBorders>
            <w:shd w:val="clear" w:color="auto" w:fill="auto"/>
            <w:noWrap/>
            <w:vAlign w:val="bottom"/>
            <w:hideMark/>
          </w:tcPr>
          <w:p w14:paraId="13D88D22"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38FB010B"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CC11C4E"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Ecology</w:t>
            </w:r>
          </w:p>
        </w:tc>
        <w:tc>
          <w:tcPr>
            <w:tcW w:w="2340" w:type="dxa"/>
            <w:tcBorders>
              <w:top w:val="nil"/>
              <w:left w:val="nil"/>
              <w:bottom w:val="single" w:sz="4" w:space="0" w:color="auto"/>
              <w:right w:val="single" w:sz="4" w:space="0" w:color="auto"/>
            </w:tcBorders>
            <w:shd w:val="clear" w:color="auto" w:fill="auto"/>
            <w:noWrap/>
            <w:vAlign w:val="bottom"/>
            <w:hideMark/>
          </w:tcPr>
          <w:p w14:paraId="5767AFBB"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040" w:type="dxa"/>
            <w:tcBorders>
              <w:top w:val="nil"/>
              <w:left w:val="nil"/>
              <w:bottom w:val="single" w:sz="4" w:space="0" w:color="auto"/>
              <w:right w:val="single" w:sz="4" w:space="0" w:color="auto"/>
            </w:tcBorders>
            <w:shd w:val="clear" w:color="auto" w:fill="auto"/>
            <w:noWrap/>
            <w:vAlign w:val="bottom"/>
            <w:hideMark/>
          </w:tcPr>
          <w:p w14:paraId="3FCD792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200" w:type="dxa"/>
            <w:tcBorders>
              <w:top w:val="nil"/>
              <w:left w:val="nil"/>
              <w:bottom w:val="single" w:sz="4" w:space="0" w:color="auto"/>
              <w:right w:val="single" w:sz="4" w:space="0" w:color="auto"/>
            </w:tcBorders>
            <w:shd w:val="clear" w:color="auto" w:fill="auto"/>
            <w:noWrap/>
            <w:vAlign w:val="bottom"/>
            <w:hideMark/>
          </w:tcPr>
          <w:p w14:paraId="48AD3C9C"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£139,177.40</w:t>
            </w:r>
          </w:p>
        </w:tc>
      </w:tr>
      <w:tr w:rsidR="00946A74" w:rsidRPr="00946A74" w14:paraId="016A1C1E"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063CAB5"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Cycle/Footway</w:t>
            </w:r>
          </w:p>
        </w:tc>
        <w:tc>
          <w:tcPr>
            <w:tcW w:w="2340" w:type="dxa"/>
            <w:tcBorders>
              <w:top w:val="nil"/>
              <w:left w:val="nil"/>
              <w:bottom w:val="single" w:sz="4" w:space="0" w:color="auto"/>
              <w:right w:val="single" w:sz="4" w:space="0" w:color="auto"/>
            </w:tcBorders>
            <w:shd w:val="clear" w:color="auto" w:fill="auto"/>
            <w:noWrap/>
            <w:vAlign w:val="bottom"/>
            <w:hideMark/>
          </w:tcPr>
          <w:p w14:paraId="5F642EB6"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£16,000.00</w:t>
            </w:r>
          </w:p>
        </w:tc>
        <w:tc>
          <w:tcPr>
            <w:tcW w:w="2040" w:type="dxa"/>
            <w:tcBorders>
              <w:top w:val="nil"/>
              <w:left w:val="nil"/>
              <w:bottom w:val="single" w:sz="4" w:space="0" w:color="auto"/>
              <w:right w:val="single" w:sz="4" w:space="0" w:color="auto"/>
            </w:tcBorders>
            <w:shd w:val="clear" w:color="auto" w:fill="auto"/>
            <w:noWrap/>
            <w:vAlign w:val="bottom"/>
            <w:hideMark/>
          </w:tcPr>
          <w:p w14:paraId="2160D55C"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£3,268.14</w:t>
            </w:r>
          </w:p>
        </w:tc>
        <w:tc>
          <w:tcPr>
            <w:tcW w:w="2200" w:type="dxa"/>
            <w:tcBorders>
              <w:top w:val="nil"/>
              <w:left w:val="nil"/>
              <w:bottom w:val="single" w:sz="4" w:space="0" w:color="auto"/>
              <w:right w:val="single" w:sz="4" w:space="0" w:color="auto"/>
            </w:tcBorders>
            <w:shd w:val="clear" w:color="auto" w:fill="auto"/>
            <w:noWrap/>
            <w:vAlign w:val="bottom"/>
            <w:hideMark/>
          </w:tcPr>
          <w:p w14:paraId="1AE5EAB7"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40003764"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EC54FC3"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Youth Facilities</w:t>
            </w:r>
          </w:p>
        </w:tc>
        <w:tc>
          <w:tcPr>
            <w:tcW w:w="2340" w:type="dxa"/>
            <w:tcBorders>
              <w:top w:val="nil"/>
              <w:left w:val="nil"/>
              <w:bottom w:val="single" w:sz="4" w:space="0" w:color="auto"/>
              <w:right w:val="single" w:sz="4" w:space="0" w:color="auto"/>
            </w:tcBorders>
            <w:shd w:val="clear" w:color="auto" w:fill="auto"/>
            <w:noWrap/>
            <w:vAlign w:val="bottom"/>
            <w:hideMark/>
          </w:tcPr>
          <w:p w14:paraId="5291D3C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£940,815.30</w:t>
            </w:r>
          </w:p>
        </w:tc>
        <w:tc>
          <w:tcPr>
            <w:tcW w:w="2040" w:type="dxa"/>
            <w:tcBorders>
              <w:top w:val="nil"/>
              <w:left w:val="nil"/>
              <w:bottom w:val="single" w:sz="4" w:space="0" w:color="auto"/>
              <w:right w:val="single" w:sz="4" w:space="0" w:color="auto"/>
            </w:tcBorders>
            <w:shd w:val="clear" w:color="auto" w:fill="auto"/>
            <w:noWrap/>
            <w:vAlign w:val="bottom"/>
            <w:hideMark/>
          </w:tcPr>
          <w:p w14:paraId="3F75E909"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£87,450.91</w:t>
            </w:r>
          </w:p>
        </w:tc>
        <w:tc>
          <w:tcPr>
            <w:tcW w:w="2200" w:type="dxa"/>
            <w:tcBorders>
              <w:top w:val="nil"/>
              <w:left w:val="nil"/>
              <w:bottom w:val="single" w:sz="4" w:space="0" w:color="auto"/>
              <w:right w:val="single" w:sz="4" w:space="0" w:color="auto"/>
            </w:tcBorders>
            <w:shd w:val="clear" w:color="auto" w:fill="auto"/>
            <w:noWrap/>
            <w:vAlign w:val="bottom"/>
            <w:hideMark/>
          </w:tcPr>
          <w:p w14:paraId="2979C827"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£184,033.09</w:t>
            </w:r>
          </w:p>
        </w:tc>
      </w:tr>
      <w:tr w:rsidR="00946A74" w:rsidRPr="00946A74" w14:paraId="66980214" w14:textId="77777777" w:rsidTr="00946A7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359CC25"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Monitoring</w:t>
            </w:r>
          </w:p>
        </w:tc>
        <w:tc>
          <w:tcPr>
            <w:tcW w:w="2340" w:type="dxa"/>
            <w:tcBorders>
              <w:top w:val="nil"/>
              <w:left w:val="nil"/>
              <w:bottom w:val="single" w:sz="4" w:space="0" w:color="auto"/>
              <w:right w:val="single" w:sz="4" w:space="0" w:color="auto"/>
            </w:tcBorders>
            <w:shd w:val="clear" w:color="auto" w:fill="auto"/>
            <w:noWrap/>
            <w:vAlign w:val="bottom"/>
            <w:hideMark/>
          </w:tcPr>
          <w:p w14:paraId="06F998F6"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£51,293.69</w:t>
            </w:r>
          </w:p>
        </w:tc>
        <w:tc>
          <w:tcPr>
            <w:tcW w:w="2040" w:type="dxa"/>
            <w:tcBorders>
              <w:top w:val="nil"/>
              <w:left w:val="nil"/>
              <w:bottom w:val="single" w:sz="4" w:space="0" w:color="auto"/>
              <w:right w:val="single" w:sz="4" w:space="0" w:color="auto"/>
            </w:tcBorders>
            <w:shd w:val="clear" w:color="auto" w:fill="auto"/>
            <w:noWrap/>
            <w:vAlign w:val="bottom"/>
            <w:hideMark/>
          </w:tcPr>
          <w:p w14:paraId="306DCFF6"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£2,659.00</w:t>
            </w:r>
          </w:p>
        </w:tc>
        <w:tc>
          <w:tcPr>
            <w:tcW w:w="2200" w:type="dxa"/>
            <w:tcBorders>
              <w:top w:val="nil"/>
              <w:left w:val="nil"/>
              <w:bottom w:val="single" w:sz="4" w:space="0" w:color="auto"/>
              <w:right w:val="single" w:sz="4" w:space="0" w:color="auto"/>
            </w:tcBorders>
            <w:shd w:val="clear" w:color="auto" w:fill="auto"/>
            <w:noWrap/>
            <w:vAlign w:val="bottom"/>
            <w:hideMark/>
          </w:tcPr>
          <w:p w14:paraId="7FCFEBDA"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£13,708.00</w:t>
            </w:r>
          </w:p>
        </w:tc>
      </w:tr>
      <w:tr w:rsidR="00946A74" w:rsidRPr="00946A74" w14:paraId="6F4A4E99" w14:textId="77777777" w:rsidTr="00CF45E1">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094AB1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Legal Fees</w:t>
            </w:r>
          </w:p>
        </w:tc>
        <w:tc>
          <w:tcPr>
            <w:tcW w:w="2340" w:type="dxa"/>
            <w:tcBorders>
              <w:top w:val="nil"/>
              <w:left w:val="nil"/>
              <w:bottom w:val="single" w:sz="4" w:space="0" w:color="auto"/>
              <w:right w:val="single" w:sz="4" w:space="0" w:color="auto"/>
            </w:tcBorders>
            <w:shd w:val="clear" w:color="auto" w:fill="auto"/>
            <w:noWrap/>
            <w:vAlign w:val="bottom"/>
            <w:hideMark/>
          </w:tcPr>
          <w:p w14:paraId="12741B19"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£200.00</w:t>
            </w:r>
          </w:p>
        </w:tc>
        <w:tc>
          <w:tcPr>
            <w:tcW w:w="2040" w:type="dxa"/>
            <w:tcBorders>
              <w:top w:val="nil"/>
              <w:left w:val="nil"/>
              <w:bottom w:val="single" w:sz="4" w:space="0" w:color="auto"/>
              <w:right w:val="single" w:sz="4" w:space="0" w:color="auto"/>
            </w:tcBorders>
            <w:shd w:val="clear" w:color="auto" w:fill="auto"/>
            <w:noWrap/>
            <w:vAlign w:val="bottom"/>
            <w:hideMark/>
          </w:tcPr>
          <w:p w14:paraId="0B40593D"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c>
          <w:tcPr>
            <w:tcW w:w="2200" w:type="dxa"/>
            <w:tcBorders>
              <w:top w:val="nil"/>
              <w:left w:val="nil"/>
              <w:bottom w:val="single" w:sz="4" w:space="0" w:color="auto"/>
              <w:right w:val="single" w:sz="4" w:space="0" w:color="auto"/>
            </w:tcBorders>
            <w:shd w:val="clear" w:color="auto" w:fill="auto"/>
            <w:noWrap/>
            <w:vAlign w:val="bottom"/>
            <w:hideMark/>
          </w:tcPr>
          <w:p w14:paraId="3EAC33C1"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946A74" w:rsidRPr="00946A74" w14:paraId="704A22D6" w14:textId="77777777" w:rsidTr="00CF45E1">
        <w:trPr>
          <w:trHeight w:val="28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3B78"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Parking</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A14360C"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£255,000.00</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346A40D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£255,000.00</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6B45D004" w14:textId="77777777" w:rsidR="00946A74" w:rsidRPr="00946A74" w:rsidRDefault="00946A74" w:rsidP="00946A74">
            <w:pPr>
              <w:spacing w:after="0" w:line="240" w:lineRule="auto"/>
              <w:rPr>
                <w:rFonts w:ascii="Calibri" w:eastAsia="Times New Roman" w:hAnsi="Calibri" w:cs="Calibri"/>
                <w:color w:val="000000"/>
                <w:sz w:val="22"/>
                <w:szCs w:val="22"/>
                <w:lang w:eastAsia="en-GB"/>
              </w:rPr>
            </w:pPr>
            <w:r w:rsidRPr="00946A74">
              <w:rPr>
                <w:rFonts w:ascii="Calibri" w:eastAsia="Times New Roman" w:hAnsi="Calibri" w:cs="Calibri"/>
                <w:color w:val="000000"/>
                <w:sz w:val="22"/>
                <w:szCs w:val="22"/>
                <w:lang w:eastAsia="en-GB"/>
              </w:rPr>
              <w:t>£0.00</w:t>
            </w:r>
          </w:p>
        </w:tc>
      </w:tr>
      <w:tr w:rsidR="00C61D16" w:rsidRPr="00946A74" w14:paraId="2C817A98" w14:textId="77777777" w:rsidTr="00CF45E1">
        <w:trPr>
          <w:trHeight w:val="28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C39B4" w14:textId="7A48DBA7" w:rsidR="00C61D16" w:rsidRPr="00946A74" w:rsidRDefault="00C61D16" w:rsidP="00C61D16">
            <w:pPr>
              <w:spacing w:after="0" w:line="240" w:lineRule="auto"/>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TOTAL</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28E7906" w14:textId="4D6E5612" w:rsidR="00C61D16" w:rsidRPr="00946A74" w:rsidRDefault="00C61D16" w:rsidP="00C61D16">
            <w:pPr>
              <w:spacing w:after="0" w:line="240" w:lineRule="auto"/>
              <w:rPr>
                <w:rFonts w:ascii="Calibri" w:eastAsia="Times New Roman" w:hAnsi="Calibri" w:cs="Calibri"/>
                <w:color w:val="000000"/>
                <w:sz w:val="22"/>
                <w:szCs w:val="22"/>
                <w:lang w:eastAsia="en-GB"/>
              </w:rPr>
            </w:pPr>
            <w:r>
              <w:rPr>
                <w:rFonts w:ascii="Calibri" w:hAnsi="Calibri" w:cs="Calibri"/>
                <w:b/>
                <w:bCs/>
                <w:color w:val="000000"/>
                <w:sz w:val="22"/>
                <w:szCs w:val="22"/>
              </w:rPr>
              <w:t>£3,362,691.01</w:t>
            </w:r>
          </w:p>
        </w:tc>
        <w:tc>
          <w:tcPr>
            <w:tcW w:w="2040" w:type="dxa"/>
            <w:tcBorders>
              <w:top w:val="single" w:sz="4" w:space="0" w:color="auto"/>
              <w:left w:val="nil"/>
              <w:bottom w:val="single" w:sz="4" w:space="0" w:color="auto"/>
              <w:right w:val="single" w:sz="4" w:space="0" w:color="auto"/>
            </w:tcBorders>
            <w:shd w:val="clear" w:color="auto" w:fill="auto"/>
            <w:noWrap/>
            <w:vAlign w:val="bottom"/>
          </w:tcPr>
          <w:p w14:paraId="2EC58B5C" w14:textId="1CE8C968" w:rsidR="00C61D16" w:rsidRPr="00946A74" w:rsidRDefault="00C61D16" w:rsidP="00C61D16">
            <w:pPr>
              <w:spacing w:after="0" w:line="240" w:lineRule="auto"/>
              <w:rPr>
                <w:rFonts w:ascii="Calibri" w:eastAsia="Times New Roman" w:hAnsi="Calibri" w:cs="Calibri"/>
                <w:color w:val="000000"/>
                <w:sz w:val="22"/>
                <w:szCs w:val="22"/>
                <w:lang w:eastAsia="en-GB"/>
              </w:rPr>
            </w:pPr>
            <w:r>
              <w:rPr>
                <w:rFonts w:ascii="Calibri" w:hAnsi="Calibri" w:cs="Calibri"/>
                <w:b/>
                <w:bCs/>
                <w:color w:val="000000"/>
                <w:sz w:val="22"/>
                <w:szCs w:val="22"/>
              </w:rPr>
              <w:t>£1,544,199.03</w:t>
            </w:r>
          </w:p>
        </w:tc>
        <w:tc>
          <w:tcPr>
            <w:tcW w:w="2200" w:type="dxa"/>
            <w:tcBorders>
              <w:top w:val="single" w:sz="4" w:space="0" w:color="auto"/>
              <w:left w:val="nil"/>
              <w:bottom w:val="single" w:sz="4" w:space="0" w:color="auto"/>
              <w:right w:val="single" w:sz="4" w:space="0" w:color="auto"/>
            </w:tcBorders>
            <w:shd w:val="clear" w:color="auto" w:fill="auto"/>
            <w:noWrap/>
            <w:vAlign w:val="bottom"/>
          </w:tcPr>
          <w:p w14:paraId="6B801A65" w14:textId="29835E98" w:rsidR="00C61D16" w:rsidRPr="00946A74" w:rsidRDefault="00C61D16" w:rsidP="00C61D16">
            <w:pPr>
              <w:spacing w:after="0" w:line="240" w:lineRule="auto"/>
              <w:rPr>
                <w:rFonts w:ascii="Calibri" w:eastAsia="Times New Roman" w:hAnsi="Calibri" w:cs="Calibri"/>
                <w:color w:val="000000"/>
                <w:sz w:val="22"/>
                <w:szCs w:val="22"/>
                <w:lang w:eastAsia="en-GB"/>
              </w:rPr>
            </w:pPr>
            <w:r>
              <w:rPr>
                <w:rFonts w:ascii="Calibri" w:hAnsi="Calibri" w:cs="Calibri"/>
                <w:b/>
                <w:bCs/>
                <w:color w:val="000000"/>
                <w:sz w:val="22"/>
                <w:szCs w:val="22"/>
              </w:rPr>
              <w:t>£1,469,017.53</w:t>
            </w:r>
          </w:p>
        </w:tc>
      </w:tr>
    </w:tbl>
    <w:p w14:paraId="53971ADA" w14:textId="37F520B5" w:rsidR="002977A1" w:rsidRDefault="002977A1" w:rsidP="00181EED">
      <w:pPr>
        <w:rPr>
          <w:rFonts w:ascii="Verdana" w:hAnsi="Verdana"/>
          <w:sz w:val="22"/>
          <w:szCs w:val="22"/>
        </w:rPr>
      </w:pPr>
    </w:p>
    <w:p w14:paraId="3EA49796" w14:textId="48D660C3" w:rsidR="009320BF" w:rsidRPr="00181EED" w:rsidRDefault="009320BF" w:rsidP="00181EED"/>
    <w:p w14:paraId="2C2A46C5" w14:textId="0C539F18" w:rsidR="009932DE" w:rsidRDefault="009932DE" w:rsidP="00181EED">
      <w:pPr>
        <w:rPr>
          <w:rFonts w:ascii="Verdana" w:hAnsi="Verdana"/>
          <w:sz w:val="22"/>
          <w:szCs w:val="22"/>
        </w:rPr>
      </w:pPr>
    </w:p>
    <w:p w14:paraId="5E0CFC63" w14:textId="77777777" w:rsidR="009932DE" w:rsidRDefault="009932DE" w:rsidP="00181EED">
      <w:pPr>
        <w:rPr>
          <w:rFonts w:ascii="Verdana" w:hAnsi="Verdana"/>
          <w:sz w:val="22"/>
          <w:szCs w:val="22"/>
        </w:rPr>
      </w:pPr>
    </w:p>
    <w:p w14:paraId="28B765F4" w14:textId="6A67109C" w:rsidR="00140976" w:rsidRPr="001251B1" w:rsidRDefault="00140976" w:rsidP="00181EED">
      <w:pPr>
        <w:rPr>
          <w:b/>
          <w:bCs/>
          <w:sz w:val="22"/>
          <w:szCs w:val="22"/>
        </w:rPr>
      </w:pPr>
      <w:r w:rsidRPr="001251B1">
        <w:rPr>
          <w:b/>
          <w:bCs/>
          <w:sz w:val="22"/>
          <w:szCs w:val="22"/>
        </w:rPr>
        <w:lastRenderedPageBreak/>
        <w:t>Refunded Funds</w:t>
      </w:r>
    </w:p>
    <w:p w14:paraId="69D3DBC6" w14:textId="0BD49FB9" w:rsidR="00A54797" w:rsidRDefault="00E44FEF" w:rsidP="00181EED">
      <w:pPr>
        <w:rPr>
          <w:rFonts w:ascii="Verdana" w:hAnsi="Verdana"/>
          <w:sz w:val="22"/>
          <w:szCs w:val="22"/>
        </w:rPr>
      </w:pPr>
      <w:r>
        <w:rPr>
          <w:rFonts w:ascii="Verdana" w:hAnsi="Verdana"/>
          <w:sz w:val="22"/>
          <w:szCs w:val="22"/>
        </w:rPr>
        <w:t>4.5</w:t>
      </w:r>
      <w:r>
        <w:rPr>
          <w:rFonts w:ascii="Verdana" w:hAnsi="Verdana"/>
          <w:sz w:val="22"/>
          <w:szCs w:val="22"/>
        </w:rPr>
        <w:tab/>
      </w:r>
      <w:r w:rsidR="008F5E3F" w:rsidRPr="00426797">
        <w:rPr>
          <w:rFonts w:ascii="Verdana" w:hAnsi="Verdana"/>
          <w:sz w:val="22"/>
          <w:szCs w:val="22"/>
        </w:rPr>
        <w:t xml:space="preserve">In </w:t>
      </w:r>
      <w:r w:rsidR="00A17C3C" w:rsidRPr="00426797">
        <w:rPr>
          <w:rFonts w:ascii="Verdana" w:hAnsi="Verdana"/>
          <w:sz w:val="22"/>
          <w:szCs w:val="22"/>
        </w:rPr>
        <w:t>the financial year 202</w:t>
      </w:r>
      <w:r w:rsidR="00437BAD">
        <w:rPr>
          <w:rFonts w:ascii="Verdana" w:hAnsi="Verdana"/>
          <w:sz w:val="22"/>
          <w:szCs w:val="22"/>
        </w:rPr>
        <w:t>4</w:t>
      </w:r>
      <w:r w:rsidR="00A17C3C" w:rsidRPr="00426797">
        <w:rPr>
          <w:rFonts w:ascii="Verdana" w:hAnsi="Verdana"/>
          <w:sz w:val="22"/>
          <w:szCs w:val="22"/>
        </w:rPr>
        <w:t>/2</w:t>
      </w:r>
      <w:r w:rsidR="00437BAD">
        <w:rPr>
          <w:rFonts w:ascii="Verdana" w:hAnsi="Verdana"/>
          <w:sz w:val="22"/>
          <w:szCs w:val="22"/>
        </w:rPr>
        <w:t>5</w:t>
      </w:r>
      <w:r w:rsidR="00140976">
        <w:rPr>
          <w:rFonts w:ascii="Verdana" w:hAnsi="Verdana"/>
          <w:sz w:val="22"/>
          <w:szCs w:val="22"/>
        </w:rPr>
        <w:t>,</w:t>
      </w:r>
      <w:r w:rsidR="00A17C3C" w:rsidRPr="00426797">
        <w:rPr>
          <w:rFonts w:ascii="Verdana" w:hAnsi="Verdana"/>
          <w:sz w:val="22"/>
          <w:szCs w:val="22"/>
        </w:rPr>
        <w:t xml:space="preserve"> the Council </w:t>
      </w:r>
      <w:r w:rsidR="00027ED8" w:rsidRPr="00426797">
        <w:rPr>
          <w:rFonts w:ascii="Verdana" w:hAnsi="Verdana"/>
          <w:sz w:val="22"/>
          <w:szCs w:val="22"/>
        </w:rPr>
        <w:t xml:space="preserve">did not have to refund any funding to developers </w:t>
      </w:r>
      <w:r w:rsidR="00426797" w:rsidRPr="00426797">
        <w:rPr>
          <w:rFonts w:ascii="Verdana" w:hAnsi="Verdana"/>
          <w:sz w:val="22"/>
          <w:szCs w:val="22"/>
        </w:rPr>
        <w:t>regarding</w:t>
      </w:r>
      <w:r w:rsidR="009D547A" w:rsidRPr="00426797">
        <w:rPr>
          <w:rFonts w:ascii="Verdana" w:hAnsi="Verdana"/>
          <w:sz w:val="22"/>
          <w:szCs w:val="22"/>
        </w:rPr>
        <w:t xml:space="preserve"> </w:t>
      </w:r>
      <w:r w:rsidR="00CB3469" w:rsidRPr="00426797">
        <w:rPr>
          <w:rFonts w:ascii="Verdana" w:hAnsi="Verdana"/>
          <w:sz w:val="22"/>
          <w:szCs w:val="22"/>
        </w:rPr>
        <w:t xml:space="preserve">S106 clauses </w:t>
      </w:r>
      <w:r w:rsidR="00426797" w:rsidRPr="00426797">
        <w:rPr>
          <w:rFonts w:ascii="Verdana" w:hAnsi="Verdana"/>
          <w:sz w:val="22"/>
          <w:szCs w:val="22"/>
        </w:rPr>
        <w:t>going out of time.</w:t>
      </w:r>
    </w:p>
    <w:p w14:paraId="134C1AAC" w14:textId="004DF2F6" w:rsidR="00140976" w:rsidRPr="001251B1" w:rsidRDefault="00140976" w:rsidP="00181EED">
      <w:pPr>
        <w:rPr>
          <w:rFonts w:cstheme="minorHAnsi"/>
          <w:b/>
          <w:bCs/>
          <w:sz w:val="22"/>
          <w:szCs w:val="22"/>
        </w:rPr>
      </w:pPr>
      <w:r w:rsidRPr="001251B1">
        <w:rPr>
          <w:rFonts w:cstheme="minorHAnsi"/>
          <w:b/>
          <w:bCs/>
          <w:sz w:val="22"/>
          <w:szCs w:val="22"/>
        </w:rPr>
        <w:t>Essex Coast Recreational Disturbance Avoidance and Mitigation Strategy (RAMS)</w:t>
      </w:r>
    </w:p>
    <w:p w14:paraId="39ECE491" w14:textId="3B472B68" w:rsidR="007F089E" w:rsidRDefault="00A54797" w:rsidP="009257FA">
      <w:pPr>
        <w:rPr>
          <w:rFonts w:ascii="Verdana" w:hAnsi="Verdana"/>
          <w:sz w:val="22"/>
          <w:szCs w:val="22"/>
        </w:rPr>
      </w:pPr>
      <w:r>
        <w:rPr>
          <w:rFonts w:ascii="Verdana" w:hAnsi="Verdana"/>
          <w:sz w:val="22"/>
          <w:szCs w:val="22"/>
        </w:rPr>
        <w:t>4.6</w:t>
      </w:r>
      <w:r>
        <w:rPr>
          <w:rFonts w:ascii="Verdana" w:hAnsi="Verdana"/>
          <w:sz w:val="22"/>
          <w:szCs w:val="22"/>
        </w:rPr>
        <w:tab/>
        <w:t xml:space="preserve">The Council also collects funding via S106 for </w:t>
      </w:r>
      <w:r w:rsidR="0045636A">
        <w:rPr>
          <w:rFonts w:ascii="Verdana" w:hAnsi="Verdana"/>
          <w:sz w:val="22"/>
          <w:szCs w:val="22"/>
        </w:rPr>
        <w:t xml:space="preserve">the Essex Coast </w:t>
      </w:r>
      <w:r>
        <w:rPr>
          <w:rFonts w:ascii="Verdana" w:hAnsi="Verdana"/>
          <w:sz w:val="22"/>
          <w:szCs w:val="22"/>
        </w:rPr>
        <w:t xml:space="preserve">RAMs payments. </w:t>
      </w:r>
      <w:r w:rsidR="009257FA" w:rsidRPr="009257FA">
        <w:rPr>
          <w:rFonts w:ascii="Verdana" w:hAnsi="Verdana"/>
          <w:sz w:val="22"/>
          <w:szCs w:val="22"/>
        </w:rPr>
        <w:t xml:space="preserve">The </w:t>
      </w:r>
      <w:r w:rsidR="00140976">
        <w:rPr>
          <w:rFonts w:ascii="Verdana" w:hAnsi="Verdana"/>
          <w:sz w:val="22"/>
          <w:szCs w:val="22"/>
        </w:rPr>
        <w:t>S</w:t>
      </w:r>
      <w:r w:rsidR="009257FA" w:rsidRPr="009257FA">
        <w:rPr>
          <w:rFonts w:ascii="Verdana" w:hAnsi="Verdana"/>
          <w:sz w:val="22"/>
          <w:szCs w:val="22"/>
        </w:rPr>
        <w:t xml:space="preserve">trategy </w:t>
      </w:r>
      <w:r w:rsidR="00140976">
        <w:rPr>
          <w:rFonts w:ascii="Verdana" w:hAnsi="Verdana"/>
          <w:sz w:val="22"/>
          <w:szCs w:val="22"/>
        </w:rPr>
        <w:t>is a Supplementary Planning Document in the Maldon District (and elsewhere in Greater Essex</w:t>
      </w:r>
      <w:proofErr w:type="gramStart"/>
      <w:r w:rsidR="00140976">
        <w:rPr>
          <w:rFonts w:ascii="Verdana" w:hAnsi="Verdana"/>
          <w:sz w:val="22"/>
          <w:szCs w:val="22"/>
        </w:rPr>
        <w:t>)</w:t>
      </w:r>
      <w:proofErr w:type="gramEnd"/>
      <w:r w:rsidR="00140976">
        <w:rPr>
          <w:rFonts w:ascii="Verdana" w:hAnsi="Verdana"/>
          <w:sz w:val="22"/>
          <w:szCs w:val="22"/>
        </w:rPr>
        <w:t xml:space="preserve"> and it </w:t>
      </w:r>
      <w:r w:rsidR="009257FA" w:rsidRPr="009257FA">
        <w:rPr>
          <w:rFonts w:ascii="Verdana" w:hAnsi="Verdana"/>
          <w:sz w:val="22"/>
          <w:szCs w:val="22"/>
        </w:rPr>
        <w:t xml:space="preserve">sets out a long-term strategic approach to lessen the impact of local housing development </w:t>
      </w:r>
      <w:r w:rsidR="005D2D6F">
        <w:rPr>
          <w:rFonts w:ascii="Verdana" w:hAnsi="Verdana"/>
          <w:sz w:val="22"/>
          <w:szCs w:val="22"/>
        </w:rPr>
        <w:t xml:space="preserve">in Greater Essex </w:t>
      </w:r>
      <w:r w:rsidR="009257FA" w:rsidRPr="009257FA">
        <w:rPr>
          <w:rFonts w:ascii="Verdana" w:hAnsi="Verdana"/>
          <w:sz w:val="22"/>
          <w:szCs w:val="22"/>
        </w:rPr>
        <w:t>on protected birds along the Essex coast.</w:t>
      </w:r>
      <w:r w:rsidR="009257FA">
        <w:rPr>
          <w:rFonts w:ascii="Verdana" w:hAnsi="Verdana"/>
          <w:sz w:val="22"/>
          <w:szCs w:val="22"/>
        </w:rPr>
        <w:t xml:space="preserve"> </w:t>
      </w:r>
      <w:r w:rsidR="009257FA" w:rsidRPr="009257FA">
        <w:rPr>
          <w:rFonts w:ascii="Verdana" w:hAnsi="Verdana"/>
          <w:sz w:val="22"/>
          <w:szCs w:val="22"/>
        </w:rPr>
        <w:t xml:space="preserve">The Essex </w:t>
      </w:r>
      <w:r w:rsidR="005D2D6F">
        <w:rPr>
          <w:rFonts w:ascii="Verdana" w:hAnsi="Verdana"/>
          <w:sz w:val="22"/>
          <w:szCs w:val="22"/>
        </w:rPr>
        <w:t xml:space="preserve">Coast </w:t>
      </w:r>
      <w:r w:rsidR="009257FA" w:rsidRPr="009257FA">
        <w:rPr>
          <w:rFonts w:ascii="Verdana" w:hAnsi="Verdana"/>
          <w:sz w:val="22"/>
          <w:szCs w:val="22"/>
        </w:rPr>
        <w:t>RAMS aims to prevent bird and habitat disturbance from recreational activities. It does this through a series of mitigation measures, which encourage all coastal visitors to enjoy their visits responsibly.</w:t>
      </w:r>
      <w:r w:rsidR="009257FA">
        <w:rPr>
          <w:rFonts w:ascii="Verdana" w:hAnsi="Verdana"/>
          <w:sz w:val="22"/>
          <w:szCs w:val="22"/>
        </w:rPr>
        <w:t xml:space="preserve">  The fund is collected either via a S106 agreement or a </w:t>
      </w:r>
      <w:r w:rsidR="005D2D6F">
        <w:rPr>
          <w:rFonts w:ascii="Verdana" w:hAnsi="Verdana"/>
          <w:sz w:val="22"/>
          <w:szCs w:val="22"/>
        </w:rPr>
        <w:t>legal deed called a U</w:t>
      </w:r>
      <w:r w:rsidR="009257FA">
        <w:rPr>
          <w:rFonts w:ascii="Verdana" w:hAnsi="Verdana"/>
          <w:sz w:val="22"/>
          <w:szCs w:val="22"/>
        </w:rPr>
        <w:t xml:space="preserve">nilateral </w:t>
      </w:r>
      <w:r w:rsidR="005D2D6F">
        <w:rPr>
          <w:rFonts w:ascii="Verdana" w:hAnsi="Verdana"/>
          <w:sz w:val="22"/>
          <w:szCs w:val="22"/>
        </w:rPr>
        <w:t>U</w:t>
      </w:r>
      <w:r w:rsidR="009257FA">
        <w:rPr>
          <w:rFonts w:ascii="Verdana" w:hAnsi="Verdana"/>
          <w:sz w:val="22"/>
          <w:szCs w:val="22"/>
        </w:rPr>
        <w:t>nder</w:t>
      </w:r>
      <w:r w:rsidR="005D2D6F">
        <w:rPr>
          <w:rFonts w:ascii="Verdana" w:hAnsi="Verdana"/>
          <w:sz w:val="22"/>
          <w:szCs w:val="22"/>
        </w:rPr>
        <w:t>taking (or UU)</w:t>
      </w:r>
      <w:r w:rsidR="009257FA">
        <w:rPr>
          <w:rFonts w:ascii="Verdana" w:hAnsi="Verdana"/>
          <w:sz w:val="22"/>
          <w:szCs w:val="22"/>
        </w:rPr>
        <w:t xml:space="preserve"> with all </w:t>
      </w:r>
      <w:r w:rsidR="00FD28F9">
        <w:rPr>
          <w:rFonts w:ascii="Verdana" w:hAnsi="Verdana"/>
          <w:sz w:val="22"/>
          <w:szCs w:val="22"/>
        </w:rPr>
        <w:t xml:space="preserve">developers of new housing across Essex. A tariff is set every </w:t>
      </w:r>
      <w:proofErr w:type="gramStart"/>
      <w:r w:rsidR="00FD28F9">
        <w:rPr>
          <w:rFonts w:ascii="Verdana" w:hAnsi="Verdana"/>
          <w:sz w:val="22"/>
          <w:szCs w:val="22"/>
        </w:rPr>
        <w:t>year</w:t>
      </w:r>
      <w:proofErr w:type="gramEnd"/>
      <w:r w:rsidR="00FD28F9">
        <w:rPr>
          <w:rFonts w:ascii="Verdana" w:hAnsi="Verdana"/>
          <w:sz w:val="22"/>
          <w:szCs w:val="22"/>
        </w:rPr>
        <w:t xml:space="preserve"> </w:t>
      </w:r>
      <w:r w:rsidR="008252E9">
        <w:rPr>
          <w:rFonts w:ascii="Verdana" w:hAnsi="Verdana"/>
          <w:sz w:val="22"/>
          <w:szCs w:val="22"/>
        </w:rPr>
        <w:t xml:space="preserve">and the funding is passed to Chelmsford City Council as the </w:t>
      </w:r>
      <w:r w:rsidR="005D2D6F">
        <w:rPr>
          <w:rFonts w:ascii="Verdana" w:hAnsi="Verdana"/>
          <w:sz w:val="22"/>
          <w:szCs w:val="22"/>
        </w:rPr>
        <w:t xml:space="preserve">partnership </w:t>
      </w:r>
      <w:r w:rsidR="008252E9">
        <w:rPr>
          <w:rFonts w:ascii="Verdana" w:hAnsi="Verdana"/>
          <w:sz w:val="22"/>
          <w:szCs w:val="22"/>
        </w:rPr>
        <w:t>administrator of the scheme</w:t>
      </w:r>
      <w:r w:rsidR="005D2D6F">
        <w:rPr>
          <w:rFonts w:ascii="Verdana" w:hAnsi="Verdana"/>
          <w:sz w:val="22"/>
          <w:szCs w:val="22"/>
        </w:rPr>
        <w:t xml:space="preserve"> on behalf of the partner local planning authorities</w:t>
      </w:r>
      <w:r w:rsidR="008252E9">
        <w:rPr>
          <w:rFonts w:ascii="Verdana" w:hAnsi="Verdana"/>
          <w:sz w:val="22"/>
          <w:szCs w:val="22"/>
        </w:rPr>
        <w:t xml:space="preserve">. </w:t>
      </w:r>
    </w:p>
    <w:p w14:paraId="36AD45AC" w14:textId="66777042" w:rsidR="002856AD" w:rsidRDefault="002856AD" w:rsidP="009257FA">
      <w:pPr>
        <w:rPr>
          <w:rFonts w:ascii="Verdana" w:hAnsi="Verdana"/>
          <w:sz w:val="22"/>
          <w:szCs w:val="22"/>
        </w:rPr>
      </w:pPr>
      <w:r>
        <w:rPr>
          <w:rFonts w:ascii="Verdana" w:hAnsi="Verdana"/>
          <w:sz w:val="22"/>
          <w:szCs w:val="22"/>
        </w:rPr>
        <w:t xml:space="preserve">Table </w:t>
      </w:r>
      <w:r w:rsidR="008B41F7">
        <w:rPr>
          <w:rFonts w:ascii="Verdana" w:hAnsi="Verdana"/>
          <w:sz w:val="22"/>
          <w:szCs w:val="22"/>
        </w:rPr>
        <w:t>5</w:t>
      </w:r>
      <w:r>
        <w:rPr>
          <w:rFonts w:ascii="Verdana" w:hAnsi="Verdana"/>
          <w:sz w:val="22"/>
          <w:szCs w:val="22"/>
        </w:rPr>
        <w:t xml:space="preserve"> sets out the </w:t>
      </w:r>
      <w:r w:rsidR="009F5194">
        <w:rPr>
          <w:rFonts w:ascii="Verdana" w:hAnsi="Verdana"/>
          <w:sz w:val="22"/>
          <w:szCs w:val="22"/>
        </w:rPr>
        <w:t xml:space="preserve">RAMs fees received, due and the spend </w:t>
      </w:r>
      <w:r w:rsidR="007317EA">
        <w:rPr>
          <w:rFonts w:ascii="Verdana" w:hAnsi="Verdana"/>
          <w:sz w:val="22"/>
          <w:szCs w:val="22"/>
        </w:rPr>
        <w:t>since March 2021.</w:t>
      </w:r>
    </w:p>
    <w:p w14:paraId="29D13225" w14:textId="0518EF69" w:rsidR="005D2D6F" w:rsidRPr="008E68B3" w:rsidRDefault="005D2D6F" w:rsidP="009257FA">
      <w:pPr>
        <w:rPr>
          <w:rFonts w:cstheme="minorHAnsi"/>
          <w:b/>
          <w:bCs/>
          <w:sz w:val="20"/>
          <w:szCs w:val="20"/>
        </w:rPr>
      </w:pPr>
      <w:r w:rsidRPr="008E68B3">
        <w:rPr>
          <w:rFonts w:cstheme="minorHAnsi"/>
          <w:b/>
          <w:bCs/>
          <w:sz w:val="20"/>
          <w:szCs w:val="20"/>
        </w:rPr>
        <w:t xml:space="preserve">Table </w:t>
      </w:r>
      <w:r w:rsidR="008B41F7" w:rsidRPr="008E68B3">
        <w:rPr>
          <w:rFonts w:cstheme="minorHAnsi"/>
          <w:b/>
          <w:bCs/>
          <w:sz w:val="20"/>
          <w:szCs w:val="20"/>
        </w:rPr>
        <w:t>5</w:t>
      </w:r>
    </w:p>
    <w:tbl>
      <w:tblPr>
        <w:tblW w:w="4600" w:type="dxa"/>
        <w:tblLook w:val="04A0" w:firstRow="1" w:lastRow="0" w:firstColumn="1" w:lastColumn="0" w:noHBand="0" w:noVBand="1"/>
      </w:tblPr>
      <w:tblGrid>
        <w:gridCol w:w="1600"/>
        <w:gridCol w:w="1480"/>
        <w:gridCol w:w="1520"/>
      </w:tblGrid>
      <w:tr w:rsidR="008E68B3" w:rsidRPr="008E68B3" w14:paraId="1E62D944" w14:textId="77777777" w:rsidTr="008E68B3">
        <w:trPr>
          <w:trHeight w:val="288"/>
        </w:trPr>
        <w:tc>
          <w:tcPr>
            <w:tcW w:w="16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67AE5FE"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RAMS</w:t>
            </w:r>
          </w:p>
        </w:tc>
        <w:tc>
          <w:tcPr>
            <w:tcW w:w="1480" w:type="dxa"/>
            <w:tcBorders>
              <w:top w:val="single" w:sz="4" w:space="0" w:color="auto"/>
              <w:left w:val="nil"/>
              <w:bottom w:val="single" w:sz="4" w:space="0" w:color="auto"/>
              <w:right w:val="single" w:sz="4" w:space="0" w:color="auto"/>
            </w:tcBorders>
            <w:shd w:val="clear" w:color="000000" w:fill="E2EFDA"/>
            <w:noWrap/>
            <w:vAlign w:val="bottom"/>
            <w:hideMark/>
          </w:tcPr>
          <w:p w14:paraId="53D61485"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Due</w:t>
            </w:r>
          </w:p>
        </w:tc>
        <w:tc>
          <w:tcPr>
            <w:tcW w:w="1520" w:type="dxa"/>
            <w:tcBorders>
              <w:top w:val="single" w:sz="4" w:space="0" w:color="auto"/>
              <w:left w:val="nil"/>
              <w:bottom w:val="single" w:sz="4" w:space="0" w:color="auto"/>
              <w:right w:val="single" w:sz="4" w:space="0" w:color="auto"/>
            </w:tcBorders>
            <w:shd w:val="clear" w:color="000000" w:fill="E2EFDA"/>
            <w:noWrap/>
            <w:vAlign w:val="bottom"/>
            <w:hideMark/>
          </w:tcPr>
          <w:p w14:paraId="56DE0496"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Received</w:t>
            </w:r>
          </w:p>
        </w:tc>
      </w:tr>
      <w:tr w:rsidR="008E68B3" w:rsidRPr="008E68B3" w14:paraId="34B2307D"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E2EFDA"/>
            <w:vAlign w:val="bottom"/>
            <w:hideMark/>
          </w:tcPr>
          <w:p w14:paraId="5135D953"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RAMS Fee Due</w:t>
            </w:r>
          </w:p>
        </w:tc>
        <w:tc>
          <w:tcPr>
            <w:tcW w:w="1480" w:type="dxa"/>
            <w:tcBorders>
              <w:top w:val="nil"/>
              <w:left w:val="nil"/>
              <w:bottom w:val="single" w:sz="4" w:space="0" w:color="auto"/>
              <w:right w:val="single" w:sz="4" w:space="0" w:color="auto"/>
            </w:tcBorders>
            <w:shd w:val="clear" w:color="000000" w:fill="E2EFDA"/>
            <w:noWrap/>
            <w:vAlign w:val="bottom"/>
            <w:hideMark/>
          </w:tcPr>
          <w:p w14:paraId="19DF13E8"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£262,005.28</w:t>
            </w:r>
          </w:p>
        </w:tc>
        <w:tc>
          <w:tcPr>
            <w:tcW w:w="1520" w:type="dxa"/>
            <w:tcBorders>
              <w:top w:val="nil"/>
              <w:left w:val="nil"/>
              <w:bottom w:val="single" w:sz="4" w:space="0" w:color="auto"/>
              <w:right w:val="single" w:sz="4" w:space="0" w:color="auto"/>
            </w:tcBorders>
            <w:shd w:val="clear" w:color="000000" w:fill="E2EFDA"/>
            <w:noWrap/>
            <w:vAlign w:val="bottom"/>
            <w:hideMark/>
          </w:tcPr>
          <w:p w14:paraId="1E0B5B17"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£58,020.67</w:t>
            </w:r>
          </w:p>
        </w:tc>
      </w:tr>
      <w:tr w:rsidR="008E68B3" w:rsidRPr="008E68B3" w14:paraId="55C25831" w14:textId="77777777" w:rsidTr="008E68B3">
        <w:trPr>
          <w:trHeight w:val="576"/>
        </w:trPr>
        <w:tc>
          <w:tcPr>
            <w:tcW w:w="1600" w:type="dxa"/>
            <w:tcBorders>
              <w:top w:val="nil"/>
              <w:left w:val="single" w:sz="4" w:space="0" w:color="auto"/>
              <w:bottom w:val="single" w:sz="4" w:space="0" w:color="auto"/>
              <w:right w:val="single" w:sz="4" w:space="0" w:color="auto"/>
            </w:tcBorders>
            <w:shd w:val="clear" w:color="000000" w:fill="E2EFDA"/>
            <w:vAlign w:val="bottom"/>
            <w:hideMark/>
          </w:tcPr>
          <w:p w14:paraId="32FAE88E"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RAMS Monitoring £50</w:t>
            </w:r>
          </w:p>
        </w:tc>
        <w:tc>
          <w:tcPr>
            <w:tcW w:w="1480" w:type="dxa"/>
            <w:tcBorders>
              <w:top w:val="nil"/>
              <w:left w:val="nil"/>
              <w:bottom w:val="single" w:sz="4" w:space="0" w:color="auto"/>
              <w:right w:val="single" w:sz="4" w:space="0" w:color="auto"/>
            </w:tcBorders>
            <w:shd w:val="clear" w:color="000000" w:fill="E2EFDA"/>
            <w:noWrap/>
            <w:vAlign w:val="bottom"/>
            <w:hideMark/>
          </w:tcPr>
          <w:p w14:paraId="5EB84B74"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£7,550.00</w:t>
            </w:r>
          </w:p>
        </w:tc>
        <w:tc>
          <w:tcPr>
            <w:tcW w:w="1520" w:type="dxa"/>
            <w:tcBorders>
              <w:top w:val="nil"/>
              <w:left w:val="nil"/>
              <w:bottom w:val="single" w:sz="4" w:space="0" w:color="auto"/>
              <w:right w:val="single" w:sz="4" w:space="0" w:color="auto"/>
            </w:tcBorders>
            <w:shd w:val="clear" w:color="000000" w:fill="E2EFDA"/>
            <w:noWrap/>
            <w:vAlign w:val="bottom"/>
            <w:hideMark/>
          </w:tcPr>
          <w:p w14:paraId="5F338000"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£3,970.00</w:t>
            </w:r>
          </w:p>
        </w:tc>
      </w:tr>
      <w:tr w:rsidR="008E68B3" w:rsidRPr="008E68B3" w14:paraId="12B2A61C"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E2EFDA"/>
            <w:vAlign w:val="bottom"/>
            <w:hideMark/>
          </w:tcPr>
          <w:p w14:paraId="1BBE21A0"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480" w:type="dxa"/>
            <w:tcBorders>
              <w:top w:val="nil"/>
              <w:left w:val="nil"/>
              <w:bottom w:val="single" w:sz="4" w:space="0" w:color="auto"/>
              <w:right w:val="single" w:sz="4" w:space="0" w:color="auto"/>
            </w:tcBorders>
            <w:shd w:val="clear" w:color="000000" w:fill="E2EFDA"/>
            <w:noWrap/>
            <w:vAlign w:val="bottom"/>
            <w:hideMark/>
          </w:tcPr>
          <w:p w14:paraId="681CB816" w14:textId="77777777" w:rsidR="008E68B3" w:rsidRPr="008E68B3" w:rsidRDefault="008E68B3" w:rsidP="008E68B3">
            <w:pPr>
              <w:spacing w:after="0" w:line="240" w:lineRule="auto"/>
              <w:rPr>
                <w:rFonts w:ascii="Calibri" w:eastAsia="Times New Roman" w:hAnsi="Calibri" w:cs="Calibri"/>
                <w:color w:val="000000"/>
                <w:sz w:val="22"/>
                <w:szCs w:val="22"/>
                <w:lang w:eastAsia="en-GB"/>
              </w:rPr>
            </w:pPr>
            <w:r w:rsidRPr="008E68B3">
              <w:rPr>
                <w:rFonts w:ascii="Calibri" w:eastAsia="Times New Roman" w:hAnsi="Calibri" w:cs="Calibri"/>
                <w:color w:val="000000"/>
                <w:sz w:val="22"/>
                <w:szCs w:val="22"/>
                <w:lang w:eastAsia="en-GB"/>
              </w:rPr>
              <w:t> </w:t>
            </w:r>
          </w:p>
        </w:tc>
        <w:tc>
          <w:tcPr>
            <w:tcW w:w="1520" w:type="dxa"/>
            <w:tcBorders>
              <w:top w:val="nil"/>
              <w:left w:val="nil"/>
              <w:bottom w:val="single" w:sz="4" w:space="0" w:color="auto"/>
              <w:right w:val="single" w:sz="4" w:space="0" w:color="auto"/>
            </w:tcBorders>
            <w:shd w:val="clear" w:color="000000" w:fill="E2EFDA"/>
            <w:noWrap/>
            <w:vAlign w:val="bottom"/>
            <w:hideMark/>
          </w:tcPr>
          <w:p w14:paraId="30CF1057" w14:textId="77777777" w:rsidR="008E68B3" w:rsidRPr="008E68B3" w:rsidRDefault="008E68B3" w:rsidP="008E68B3">
            <w:pPr>
              <w:spacing w:after="0" w:line="240" w:lineRule="auto"/>
              <w:rPr>
                <w:rFonts w:ascii="Calibri" w:eastAsia="Times New Roman" w:hAnsi="Calibri" w:cs="Calibri"/>
                <w:color w:val="000000"/>
                <w:sz w:val="22"/>
                <w:szCs w:val="22"/>
                <w:lang w:eastAsia="en-GB"/>
              </w:rPr>
            </w:pPr>
            <w:r w:rsidRPr="008E68B3">
              <w:rPr>
                <w:rFonts w:ascii="Calibri" w:eastAsia="Times New Roman" w:hAnsi="Calibri" w:cs="Calibri"/>
                <w:color w:val="000000"/>
                <w:sz w:val="22"/>
                <w:szCs w:val="22"/>
                <w:lang w:eastAsia="en-GB"/>
              </w:rPr>
              <w:t> </w:t>
            </w:r>
          </w:p>
        </w:tc>
      </w:tr>
      <w:tr w:rsidR="008E68B3" w:rsidRPr="008E68B3" w14:paraId="05D5ED17"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FFFFFF"/>
            <w:vAlign w:val="bottom"/>
            <w:hideMark/>
          </w:tcPr>
          <w:p w14:paraId="6A9B451B"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TOTAL</w:t>
            </w:r>
          </w:p>
        </w:tc>
        <w:tc>
          <w:tcPr>
            <w:tcW w:w="1480" w:type="dxa"/>
            <w:tcBorders>
              <w:top w:val="nil"/>
              <w:left w:val="nil"/>
              <w:bottom w:val="single" w:sz="4" w:space="0" w:color="auto"/>
              <w:right w:val="single" w:sz="4" w:space="0" w:color="auto"/>
            </w:tcBorders>
            <w:shd w:val="clear" w:color="000000" w:fill="FFFFFF"/>
            <w:noWrap/>
            <w:vAlign w:val="bottom"/>
            <w:hideMark/>
          </w:tcPr>
          <w:p w14:paraId="61B6FAD8"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£269,555.28</w:t>
            </w:r>
          </w:p>
        </w:tc>
        <w:tc>
          <w:tcPr>
            <w:tcW w:w="1520" w:type="dxa"/>
            <w:tcBorders>
              <w:top w:val="nil"/>
              <w:left w:val="nil"/>
              <w:bottom w:val="single" w:sz="4" w:space="0" w:color="auto"/>
              <w:right w:val="single" w:sz="4" w:space="0" w:color="auto"/>
            </w:tcBorders>
            <w:shd w:val="clear" w:color="000000" w:fill="FFFFFF"/>
            <w:noWrap/>
            <w:vAlign w:val="bottom"/>
            <w:hideMark/>
          </w:tcPr>
          <w:p w14:paraId="43C208BC"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£61,990.67</w:t>
            </w:r>
          </w:p>
        </w:tc>
      </w:tr>
      <w:tr w:rsidR="008E68B3" w:rsidRPr="008E68B3" w14:paraId="37E2E6FA"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FFFFFF"/>
            <w:vAlign w:val="bottom"/>
            <w:hideMark/>
          </w:tcPr>
          <w:p w14:paraId="7AF54832"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2EDF92E3"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5212D785"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r>
      <w:tr w:rsidR="008E68B3" w:rsidRPr="008E68B3" w14:paraId="14FFC240"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FFFFFF"/>
            <w:vAlign w:val="bottom"/>
            <w:hideMark/>
          </w:tcPr>
          <w:p w14:paraId="16C3E09C"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738C87B3"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713EE5B8"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r>
      <w:tr w:rsidR="008E68B3" w:rsidRPr="008E68B3" w14:paraId="38BC4FD8"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FFFFFF"/>
            <w:vAlign w:val="bottom"/>
            <w:hideMark/>
          </w:tcPr>
          <w:p w14:paraId="32CBD536"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50BF48CA"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555854DC"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 </w:t>
            </w:r>
          </w:p>
        </w:tc>
      </w:tr>
      <w:tr w:rsidR="008E68B3" w:rsidRPr="008E68B3" w14:paraId="0ED551C0" w14:textId="77777777" w:rsidTr="008E68B3">
        <w:trPr>
          <w:trHeight w:val="288"/>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2B4FD5BB" w14:textId="77777777" w:rsidR="008E68B3" w:rsidRPr="008E68B3" w:rsidRDefault="008E68B3" w:rsidP="008E68B3">
            <w:pPr>
              <w:spacing w:after="0" w:line="240" w:lineRule="auto"/>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TOTAL SPEND</w:t>
            </w:r>
          </w:p>
        </w:tc>
        <w:tc>
          <w:tcPr>
            <w:tcW w:w="1480" w:type="dxa"/>
            <w:tcBorders>
              <w:top w:val="nil"/>
              <w:left w:val="nil"/>
              <w:bottom w:val="single" w:sz="4" w:space="0" w:color="auto"/>
              <w:right w:val="single" w:sz="4" w:space="0" w:color="auto"/>
            </w:tcBorders>
            <w:shd w:val="clear" w:color="000000" w:fill="FFFFFF"/>
            <w:noWrap/>
            <w:vAlign w:val="bottom"/>
            <w:hideMark/>
          </w:tcPr>
          <w:p w14:paraId="30C72C9E" w14:textId="77777777" w:rsidR="008E68B3" w:rsidRPr="008E68B3" w:rsidRDefault="008E68B3" w:rsidP="008E68B3">
            <w:pPr>
              <w:spacing w:after="0" w:line="240" w:lineRule="auto"/>
              <w:rPr>
                <w:rFonts w:ascii="Calibri" w:eastAsia="Times New Roman" w:hAnsi="Calibri" w:cs="Calibri"/>
                <w:color w:val="000000"/>
                <w:sz w:val="22"/>
                <w:szCs w:val="22"/>
                <w:lang w:eastAsia="en-GB"/>
              </w:rPr>
            </w:pPr>
            <w:r w:rsidRPr="008E68B3">
              <w:rPr>
                <w:rFonts w:ascii="Calibri" w:eastAsia="Times New Roman" w:hAnsi="Calibri" w:cs="Calibri"/>
                <w:color w:val="000000"/>
                <w:sz w:val="22"/>
                <w:szCs w:val="22"/>
                <w:lang w:eastAsia="en-GB"/>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64078063" w14:textId="77777777" w:rsidR="008E68B3" w:rsidRPr="008E68B3" w:rsidRDefault="008E68B3" w:rsidP="008E68B3">
            <w:pPr>
              <w:spacing w:after="0" w:line="240" w:lineRule="auto"/>
              <w:jc w:val="right"/>
              <w:rPr>
                <w:rFonts w:ascii="Calibri" w:eastAsia="Times New Roman" w:hAnsi="Calibri" w:cs="Calibri"/>
                <w:b/>
                <w:bCs/>
                <w:color w:val="000000"/>
                <w:sz w:val="22"/>
                <w:szCs w:val="22"/>
                <w:lang w:eastAsia="en-GB"/>
              </w:rPr>
            </w:pPr>
            <w:r w:rsidRPr="008E68B3">
              <w:rPr>
                <w:rFonts w:ascii="Calibri" w:eastAsia="Times New Roman" w:hAnsi="Calibri" w:cs="Calibri"/>
                <w:b/>
                <w:bCs/>
                <w:color w:val="000000"/>
                <w:sz w:val="22"/>
                <w:szCs w:val="22"/>
                <w:lang w:eastAsia="en-GB"/>
              </w:rPr>
              <w:t>£44,068.68</w:t>
            </w:r>
          </w:p>
        </w:tc>
      </w:tr>
    </w:tbl>
    <w:p w14:paraId="79A47D56" w14:textId="496D65EB" w:rsidR="001766E2" w:rsidRDefault="001766E2" w:rsidP="009257FA">
      <w:pPr>
        <w:rPr>
          <w:rFonts w:ascii="Verdana" w:hAnsi="Verdana"/>
          <w:sz w:val="22"/>
          <w:szCs w:val="22"/>
        </w:rPr>
      </w:pPr>
    </w:p>
    <w:p w14:paraId="61477D27" w14:textId="52237844" w:rsidR="00F254FE" w:rsidRPr="00426797" w:rsidRDefault="00F254FE" w:rsidP="009257FA">
      <w:pPr>
        <w:rPr>
          <w:rFonts w:ascii="Verdana" w:hAnsi="Verdana"/>
          <w:sz w:val="22"/>
          <w:szCs w:val="22"/>
        </w:rPr>
      </w:pPr>
      <w:r>
        <w:rPr>
          <w:rFonts w:ascii="Verdana" w:hAnsi="Verdana"/>
          <w:sz w:val="22"/>
          <w:szCs w:val="22"/>
        </w:rPr>
        <w:t>For more information on the Essex Coast RAM</w:t>
      </w:r>
      <w:r w:rsidR="005D2D6F">
        <w:rPr>
          <w:rFonts w:ascii="Verdana" w:hAnsi="Verdana"/>
          <w:sz w:val="22"/>
          <w:szCs w:val="22"/>
        </w:rPr>
        <w:t>S</w:t>
      </w:r>
      <w:r>
        <w:rPr>
          <w:rFonts w:ascii="Verdana" w:hAnsi="Verdana"/>
          <w:sz w:val="22"/>
          <w:szCs w:val="22"/>
        </w:rPr>
        <w:t xml:space="preserve"> Strategy </w:t>
      </w:r>
      <w:hyperlink r:id="rId17" w:history="1">
        <w:r w:rsidRPr="00940CCB">
          <w:rPr>
            <w:rStyle w:val="Hyperlink"/>
            <w:rFonts w:ascii="Verdana" w:hAnsi="Verdana"/>
            <w:sz w:val="22"/>
            <w:szCs w:val="22"/>
          </w:rPr>
          <w:t>https://www.maldon.gov.uk/download/downloads/id/18981/rams_strategy.pdf</w:t>
        </w:r>
      </w:hyperlink>
      <w:r>
        <w:rPr>
          <w:rFonts w:ascii="Verdana" w:hAnsi="Verdana"/>
          <w:sz w:val="22"/>
          <w:szCs w:val="22"/>
        </w:rPr>
        <w:t xml:space="preserve"> </w:t>
      </w:r>
    </w:p>
    <w:p w14:paraId="61CA23AF" w14:textId="475DC02E" w:rsidR="001766E2" w:rsidRPr="00181EED" w:rsidRDefault="000E5C09" w:rsidP="000E5C09">
      <w:pPr>
        <w:pStyle w:val="Heading1"/>
      </w:pPr>
      <w:bookmarkStart w:id="6" w:name="_Toc206425396"/>
      <w:r>
        <w:t>5.0</w:t>
      </w:r>
      <w:r>
        <w:tab/>
      </w:r>
      <w:r w:rsidR="001766E2" w:rsidRPr="00181EED">
        <w:t>Affordable Homes</w:t>
      </w:r>
      <w:bookmarkEnd w:id="6"/>
    </w:p>
    <w:p w14:paraId="5D56CA7B" w14:textId="77777777" w:rsidR="000E5C09" w:rsidRDefault="000E5C09" w:rsidP="00181EED"/>
    <w:p w14:paraId="39197789" w14:textId="1DC9B1DA" w:rsidR="004D2DF4" w:rsidRDefault="000E5C09" w:rsidP="003B4F5A">
      <w:pPr>
        <w:jc w:val="both"/>
        <w:rPr>
          <w:rFonts w:ascii="Verdana" w:hAnsi="Verdana"/>
          <w:sz w:val="22"/>
          <w:szCs w:val="22"/>
        </w:rPr>
      </w:pPr>
      <w:r w:rsidRPr="000E5C09">
        <w:rPr>
          <w:rFonts w:ascii="Verdana" w:hAnsi="Verdana"/>
          <w:sz w:val="22"/>
          <w:szCs w:val="22"/>
        </w:rPr>
        <w:t>5.1</w:t>
      </w:r>
      <w:r w:rsidRPr="000E5C09">
        <w:rPr>
          <w:rFonts w:ascii="Verdana" w:hAnsi="Verdana"/>
          <w:sz w:val="22"/>
          <w:szCs w:val="22"/>
        </w:rPr>
        <w:tab/>
      </w:r>
      <w:r w:rsidR="001766E2" w:rsidRPr="000E5C09">
        <w:rPr>
          <w:rFonts w:ascii="Verdana" w:hAnsi="Verdana"/>
          <w:sz w:val="22"/>
          <w:szCs w:val="22"/>
        </w:rPr>
        <w:t xml:space="preserve">The Council’s </w:t>
      </w:r>
      <w:r w:rsidR="00E65ECB">
        <w:rPr>
          <w:rFonts w:ascii="Verdana" w:hAnsi="Verdana"/>
          <w:sz w:val="22"/>
          <w:szCs w:val="22"/>
        </w:rPr>
        <w:t xml:space="preserve">approved </w:t>
      </w:r>
      <w:r w:rsidR="001766E2" w:rsidRPr="000E5C09">
        <w:rPr>
          <w:rFonts w:ascii="Verdana" w:hAnsi="Verdana"/>
          <w:sz w:val="22"/>
          <w:szCs w:val="22"/>
        </w:rPr>
        <w:t xml:space="preserve">LDP </w:t>
      </w:r>
      <w:r w:rsidR="00D40E54">
        <w:rPr>
          <w:rFonts w:ascii="Verdana" w:hAnsi="Verdana"/>
          <w:sz w:val="22"/>
          <w:szCs w:val="22"/>
        </w:rPr>
        <w:t>P</w:t>
      </w:r>
      <w:r w:rsidR="001766E2" w:rsidRPr="000E5C09">
        <w:rPr>
          <w:rFonts w:ascii="Verdana" w:hAnsi="Verdana"/>
          <w:sz w:val="22"/>
          <w:szCs w:val="22"/>
        </w:rPr>
        <w:t>olicy</w:t>
      </w:r>
      <w:r w:rsidR="00D40E54">
        <w:rPr>
          <w:rFonts w:ascii="Verdana" w:hAnsi="Verdana"/>
          <w:sz w:val="22"/>
          <w:szCs w:val="22"/>
        </w:rPr>
        <w:t xml:space="preserve"> H1</w:t>
      </w:r>
      <w:r w:rsidR="001766E2" w:rsidRPr="000E5C09">
        <w:rPr>
          <w:rFonts w:ascii="Verdana" w:hAnsi="Verdana"/>
          <w:sz w:val="22"/>
          <w:szCs w:val="22"/>
        </w:rPr>
        <w:t xml:space="preserve"> encourages developers </w:t>
      </w:r>
      <w:r w:rsidR="005D2D6F">
        <w:rPr>
          <w:rFonts w:ascii="Verdana" w:hAnsi="Verdana"/>
          <w:sz w:val="22"/>
          <w:szCs w:val="22"/>
        </w:rPr>
        <w:t xml:space="preserve">of schemes of more than 10 unit or 1,000sqm </w:t>
      </w:r>
      <w:r w:rsidR="001766E2" w:rsidRPr="000E5C09">
        <w:rPr>
          <w:rFonts w:ascii="Verdana" w:hAnsi="Verdana"/>
          <w:sz w:val="22"/>
          <w:szCs w:val="22"/>
        </w:rPr>
        <w:t>to build between 25% and 40% of the</w:t>
      </w:r>
      <w:r w:rsidR="00D40E54">
        <w:rPr>
          <w:rFonts w:ascii="Verdana" w:hAnsi="Verdana"/>
          <w:sz w:val="22"/>
          <w:szCs w:val="22"/>
        </w:rPr>
        <w:t>ir</w:t>
      </w:r>
      <w:r w:rsidR="001766E2" w:rsidRPr="000E5C09">
        <w:rPr>
          <w:rFonts w:ascii="Verdana" w:hAnsi="Verdana"/>
          <w:sz w:val="22"/>
          <w:szCs w:val="22"/>
        </w:rPr>
        <w:t xml:space="preserve"> development </w:t>
      </w:r>
      <w:r w:rsidR="00D40E54" w:rsidRPr="000E5C09">
        <w:rPr>
          <w:rFonts w:ascii="Verdana" w:hAnsi="Verdana"/>
          <w:sz w:val="22"/>
          <w:szCs w:val="22"/>
        </w:rPr>
        <w:t xml:space="preserve">in the District </w:t>
      </w:r>
      <w:r w:rsidR="001766E2" w:rsidRPr="000E5C09">
        <w:rPr>
          <w:rFonts w:ascii="Verdana" w:hAnsi="Verdana"/>
          <w:sz w:val="22"/>
          <w:szCs w:val="22"/>
        </w:rPr>
        <w:t xml:space="preserve">as affordable homes. The actual percentage will depend on the specific location </w:t>
      </w:r>
      <w:r w:rsidR="00D40E54">
        <w:rPr>
          <w:rFonts w:ascii="Verdana" w:hAnsi="Verdana"/>
          <w:sz w:val="22"/>
          <w:szCs w:val="22"/>
        </w:rPr>
        <w:t xml:space="preserve">of the development </w:t>
      </w:r>
      <w:r w:rsidR="001766E2" w:rsidRPr="000E5C09">
        <w:rPr>
          <w:rFonts w:ascii="Verdana" w:hAnsi="Verdana"/>
          <w:sz w:val="22"/>
          <w:szCs w:val="22"/>
        </w:rPr>
        <w:t>in the district and the viability of the scheme in financial terms. The Council encourages the affordable homes to be delivered on the individual development sites wherever possible, where they can be dedicated to households that need them.  In some circumstances</w:t>
      </w:r>
      <w:r w:rsidR="00F70F18">
        <w:rPr>
          <w:rFonts w:ascii="Verdana" w:hAnsi="Verdana"/>
          <w:sz w:val="22"/>
          <w:szCs w:val="22"/>
        </w:rPr>
        <w:t>,</w:t>
      </w:r>
      <w:r w:rsidR="001766E2" w:rsidRPr="000E5C09">
        <w:rPr>
          <w:rFonts w:ascii="Verdana" w:hAnsi="Verdana"/>
          <w:sz w:val="22"/>
          <w:szCs w:val="22"/>
        </w:rPr>
        <w:t xml:space="preserve"> this may not be possible and then an agreed financially equivalent sum of money </w:t>
      </w:r>
      <w:r w:rsidR="00372531" w:rsidRPr="00372531">
        <w:rPr>
          <w:rFonts w:ascii="Verdana" w:hAnsi="Verdana"/>
          <w:sz w:val="22"/>
          <w:szCs w:val="22"/>
        </w:rPr>
        <w:t xml:space="preserve">(the amount paid for an Affordable Unit that is of the greatest </w:t>
      </w:r>
      <w:r w:rsidR="00372531" w:rsidRPr="00372531">
        <w:rPr>
          <w:rFonts w:ascii="Verdana" w:hAnsi="Verdana"/>
          <w:sz w:val="22"/>
          <w:szCs w:val="22"/>
        </w:rPr>
        <w:lastRenderedPageBreak/>
        <w:t xml:space="preserve">demand by </w:t>
      </w:r>
      <w:r w:rsidR="002265F5">
        <w:rPr>
          <w:rFonts w:ascii="Verdana" w:hAnsi="Verdana"/>
          <w:sz w:val="22"/>
          <w:szCs w:val="22"/>
        </w:rPr>
        <w:t xml:space="preserve">the Local Housing Needs Assessment (formerly the </w:t>
      </w:r>
      <w:r w:rsidR="00372531" w:rsidRPr="00372531">
        <w:rPr>
          <w:rFonts w:ascii="Verdana" w:hAnsi="Verdana"/>
          <w:sz w:val="22"/>
          <w:szCs w:val="22"/>
        </w:rPr>
        <w:t xml:space="preserve">Strategic Housing </w:t>
      </w:r>
      <w:r w:rsidR="002265F5">
        <w:rPr>
          <w:rFonts w:ascii="Verdana" w:hAnsi="Verdana"/>
          <w:sz w:val="22"/>
          <w:szCs w:val="22"/>
        </w:rPr>
        <w:t xml:space="preserve">Market Assessment) </w:t>
      </w:r>
      <w:r w:rsidR="00372531" w:rsidRPr="00372531">
        <w:rPr>
          <w:rFonts w:ascii="Verdana" w:hAnsi="Verdana"/>
          <w:sz w:val="22"/>
          <w:szCs w:val="22"/>
        </w:rPr>
        <w:t xml:space="preserve">at that point in time) </w:t>
      </w:r>
      <w:r w:rsidR="001766E2" w:rsidRPr="000E5C09">
        <w:rPr>
          <w:rFonts w:ascii="Verdana" w:hAnsi="Verdana"/>
          <w:sz w:val="22"/>
          <w:szCs w:val="22"/>
        </w:rPr>
        <w:t xml:space="preserve">may be paid as a contribution.  </w:t>
      </w:r>
    </w:p>
    <w:p w14:paraId="22C7CA7E" w14:textId="10521C6F" w:rsidR="001766E2" w:rsidRPr="000E5C09" w:rsidRDefault="001766E2" w:rsidP="003B4F5A">
      <w:pPr>
        <w:jc w:val="both"/>
        <w:rPr>
          <w:rFonts w:ascii="Verdana" w:hAnsi="Verdana"/>
          <w:sz w:val="22"/>
          <w:szCs w:val="22"/>
        </w:rPr>
      </w:pPr>
      <w:r w:rsidRPr="000E5C09">
        <w:rPr>
          <w:rFonts w:ascii="Verdana" w:hAnsi="Verdana"/>
          <w:sz w:val="22"/>
          <w:szCs w:val="22"/>
        </w:rPr>
        <w:t>This important aspect of on-site provision represents a significant contribution to the number of new homes provided to meet the affordable housing need of the District.</w:t>
      </w:r>
    </w:p>
    <w:p w14:paraId="65AFF60C" w14:textId="4E62409A" w:rsidR="001766E2" w:rsidRDefault="001766E2" w:rsidP="003B4F5A">
      <w:pPr>
        <w:jc w:val="both"/>
        <w:rPr>
          <w:rFonts w:ascii="Verdana" w:hAnsi="Verdana"/>
          <w:sz w:val="22"/>
          <w:szCs w:val="22"/>
        </w:rPr>
      </w:pPr>
      <w:r w:rsidRPr="000E5C09">
        <w:rPr>
          <w:rFonts w:ascii="Verdana" w:hAnsi="Verdana"/>
          <w:sz w:val="22"/>
          <w:szCs w:val="22"/>
        </w:rPr>
        <w:t xml:space="preserve">What is meant by </w:t>
      </w:r>
      <w:r w:rsidR="005D2D6F">
        <w:rPr>
          <w:rFonts w:ascii="Verdana" w:hAnsi="Verdana"/>
          <w:sz w:val="22"/>
          <w:szCs w:val="22"/>
        </w:rPr>
        <w:t xml:space="preserve">the term </w:t>
      </w:r>
      <w:r w:rsidRPr="000E5C09">
        <w:rPr>
          <w:rFonts w:ascii="Verdana" w:hAnsi="Verdana"/>
          <w:sz w:val="22"/>
          <w:szCs w:val="22"/>
        </w:rPr>
        <w:t xml:space="preserve">an “Affordable Home” is defined in the LDP and in the Annex 2 of the </w:t>
      </w:r>
      <w:hyperlink r:id="rId18" w:history="1">
        <w:r w:rsidRPr="000E5C09">
          <w:rPr>
            <w:rStyle w:val="Hyperlink"/>
            <w:rFonts w:ascii="Verdana" w:hAnsi="Verdana"/>
            <w:sz w:val="22"/>
            <w:szCs w:val="22"/>
          </w:rPr>
          <w:t>National Planning Policy Framework</w:t>
        </w:r>
      </w:hyperlink>
      <w:r w:rsidRPr="00666543">
        <w:rPr>
          <w:rFonts w:ascii="Verdana" w:hAnsi="Verdana"/>
          <w:sz w:val="22"/>
          <w:szCs w:val="22"/>
          <w:vertAlign w:val="superscript"/>
        </w:rPr>
        <w:footnoteReference w:id="5"/>
      </w:r>
      <w:r w:rsidRPr="000E5C09">
        <w:rPr>
          <w:rFonts w:ascii="Verdana" w:hAnsi="Verdana"/>
          <w:sz w:val="22"/>
          <w:szCs w:val="22"/>
        </w:rPr>
        <w:t xml:space="preserve">. </w:t>
      </w:r>
    </w:p>
    <w:p w14:paraId="77B8A3C9" w14:textId="7E81E9F3" w:rsidR="0060718D" w:rsidRPr="0043649F" w:rsidRDefault="001766E2" w:rsidP="0060718D">
      <w:pPr>
        <w:jc w:val="both"/>
        <w:rPr>
          <w:rFonts w:ascii="Verdana" w:hAnsi="Verdana"/>
          <w:sz w:val="22"/>
          <w:szCs w:val="22"/>
        </w:rPr>
      </w:pPr>
      <w:r w:rsidRPr="0043649F">
        <w:rPr>
          <w:rFonts w:ascii="Verdana" w:hAnsi="Verdana"/>
          <w:sz w:val="22"/>
          <w:szCs w:val="22"/>
        </w:rPr>
        <w:t>In the</w:t>
      </w:r>
      <w:r w:rsidR="002353A5" w:rsidRPr="0043649F">
        <w:rPr>
          <w:rFonts w:ascii="Verdana" w:hAnsi="Verdana"/>
          <w:sz w:val="22"/>
          <w:szCs w:val="22"/>
        </w:rPr>
        <w:t xml:space="preserve"> financial year 202</w:t>
      </w:r>
      <w:r w:rsidR="00941515" w:rsidRPr="0043649F">
        <w:rPr>
          <w:rFonts w:ascii="Verdana" w:hAnsi="Verdana"/>
          <w:sz w:val="22"/>
          <w:szCs w:val="22"/>
        </w:rPr>
        <w:t>4</w:t>
      </w:r>
      <w:r w:rsidR="002353A5" w:rsidRPr="0043649F">
        <w:rPr>
          <w:rFonts w:ascii="Verdana" w:hAnsi="Verdana"/>
          <w:sz w:val="22"/>
          <w:szCs w:val="22"/>
        </w:rPr>
        <w:t>/2</w:t>
      </w:r>
      <w:r w:rsidR="00941515" w:rsidRPr="0043649F">
        <w:rPr>
          <w:rFonts w:ascii="Verdana" w:hAnsi="Verdana"/>
          <w:sz w:val="22"/>
          <w:szCs w:val="22"/>
        </w:rPr>
        <w:t>5</w:t>
      </w:r>
      <w:r w:rsidRPr="0043649F">
        <w:rPr>
          <w:rFonts w:ascii="Verdana" w:hAnsi="Verdana"/>
          <w:sz w:val="22"/>
          <w:szCs w:val="22"/>
        </w:rPr>
        <w:t xml:space="preserve">, the Council </w:t>
      </w:r>
      <w:r w:rsidR="002353A5" w:rsidRPr="0043649F">
        <w:rPr>
          <w:rFonts w:ascii="Verdana" w:hAnsi="Verdana"/>
          <w:sz w:val="22"/>
          <w:szCs w:val="22"/>
        </w:rPr>
        <w:t xml:space="preserve">was informed that the following </w:t>
      </w:r>
      <w:r w:rsidRPr="0043649F">
        <w:rPr>
          <w:rFonts w:ascii="Verdana" w:hAnsi="Verdana"/>
          <w:sz w:val="22"/>
          <w:szCs w:val="22"/>
        </w:rPr>
        <w:t xml:space="preserve">new affordable homes </w:t>
      </w:r>
      <w:r w:rsidR="002353A5" w:rsidRPr="0043649F">
        <w:rPr>
          <w:rFonts w:ascii="Verdana" w:hAnsi="Verdana"/>
          <w:sz w:val="22"/>
          <w:szCs w:val="22"/>
        </w:rPr>
        <w:t xml:space="preserve">were delivered </w:t>
      </w:r>
      <w:r w:rsidR="008419D4" w:rsidRPr="0043649F">
        <w:rPr>
          <w:rFonts w:ascii="Verdana" w:hAnsi="Verdana"/>
          <w:sz w:val="22"/>
          <w:szCs w:val="22"/>
        </w:rPr>
        <w:t>in the District</w:t>
      </w:r>
      <w:r w:rsidR="005D2D6F" w:rsidRPr="0043649F">
        <w:rPr>
          <w:rFonts w:ascii="Verdana" w:hAnsi="Verdana"/>
          <w:sz w:val="22"/>
          <w:szCs w:val="22"/>
        </w:rPr>
        <w:t>:</w:t>
      </w:r>
      <w:r w:rsidRPr="0043649F">
        <w:rPr>
          <w:rFonts w:ascii="Verdana" w:hAnsi="Verdana"/>
          <w:sz w:val="22"/>
          <w:szCs w:val="22"/>
        </w:rPr>
        <w:t xml:space="preserve"> </w:t>
      </w:r>
    </w:p>
    <w:p w14:paraId="4FEDEC07" w14:textId="53AAE842" w:rsidR="00423EF0" w:rsidRPr="0043649F" w:rsidRDefault="00FA216B" w:rsidP="0060718D">
      <w:pPr>
        <w:jc w:val="both"/>
        <w:rPr>
          <w:rFonts w:ascii="Verdana" w:hAnsi="Verdana"/>
          <w:sz w:val="22"/>
          <w:szCs w:val="22"/>
        </w:rPr>
      </w:pPr>
      <w:r w:rsidRPr="0043649F">
        <w:rPr>
          <w:rFonts w:ascii="Verdana" w:hAnsi="Verdana"/>
          <w:sz w:val="22"/>
          <w:szCs w:val="22"/>
        </w:rPr>
        <w:t xml:space="preserve">Affordable Rented Homes      </w:t>
      </w:r>
      <w:r w:rsidRPr="0043649F">
        <w:rPr>
          <w:rFonts w:ascii="Verdana" w:hAnsi="Verdana"/>
          <w:sz w:val="22"/>
          <w:szCs w:val="22"/>
        </w:rPr>
        <w:tab/>
      </w:r>
      <w:r w:rsidRPr="0043649F">
        <w:rPr>
          <w:rFonts w:ascii="Verdana" w:hAnsi="Verdana"/>
          <w:sz w:val="22"/>
          <w:szCs w:val="22"/>
        </w:rPr>
        <w:tab/>
      </w:r>
      <w:r w:rsidRPr="0043649F">
        <w:rPr>
          <w:rFonts w:ascii="Verdana" w:hAnsi="Verdana"/>
          <w:sz w:val="22"/>
          <w:szCs w:val="22"/>
        </w:rPr>
        <w:tab/>
      </w:r>
      <w:r w:rsidRPr="0043649F">
        <w:rPr>
          <w:rFonts w:ascii="Verdana" w:hAnsi="Verdana"/>
          <w:sz w:val="22"/>
          <w:szCs w:val="22"/>
        </w:rPr>
        <w:tab/>
      </w:r>
      <w:r w:rsidR="00FE1E6B" w:rsidRPr="0043649F">
        <w:rPr>
          <w:rFonts w:ascii="Verdana" w:hAnsi="Verdana"/>
          <w:sz w:val="22"/>
          <w:szCs w:val="22"/>
        </w:rPr>
        <w:t>88</w:t>
      </w:r>
    </w:p>
    <w:p w14:paraId="22BB363B" w14:textId="0B380942" w:rsidR="00FA216B" w:rsidRPr="0043649F" w:rsidRDefault="00FA216B" w:rsidP="0060718D">
      <w:pPr>
        <w:jc w:val="both"/>
        <w:rPr>
          <w:rFonts w:ascii="Verdana" w:hAnsi="Verdana"/>
          <w:sz w:val="22"/>
          <w:szCs w:val="22"/>
        </w:rPr>
      </w:pPr>
      <w:r w:rsidRPr="0043649F">
        <w:rPr>
          <w:rFonts w:ascii="Verdana" w:hAnsi="Verdana"/>
          <w:sz w:val="22"/>
          <w:szCs w:val="22"/>
        </w:rPr>
        <w:t>Intermediate/Shared Ownership Homes</w:t>
      </w:r>
      <w:r w:rsidRPr="0043649F">
        <w:rPr>
          <w:rFonts w:ascii="Verdana" w:hAnsi="Verdana"/>
          <w:sz w:val="22"/>
          <w:szCs w:val="22"/>
        </w:rPr>
        <w:tab/>
      </w:r>
      <w:r w:rsidRPr="0043649F">
        <w:rPr>
          <w:rFonts w:ascii="Verdana" w:hAnsi="Verdana"/>
          <w:sz w:val="22"/>
          <w:szCs w:val="22"/>
        </w:rPr>
        <w:tab/>
      </w:r>
      <w:r w:rsidR="00FE1E6B" w:rsidRPr="0043649F">
        <w:rPr>
          <w:rFonts w:ascii="Verdana" w:hAnsi="Verdana"/>
          <w:sz w:val="22"/>
          <w:szCs w:val="22"/>
        </w:rPr>
        <w:t>54</w:t>
      </w:r>
    </w:p>
    <w:p w14:paraId="48526004" w14:textId="3180BE64" w:rsidR="00237E2E" w:rsidRPr="0043649F" w:rsidRDefault="00237E2E" w:rsidP="0060718D">
      <w:pPr>
        <w:jc w:val="both"/>
        <w:rPr>
          <w:rFonts w:ascii="Verdana" w:hAnsi="Verdana"/>
          <w:b/>
          <w:bCs/>
          <w:sz w:val="22"/>
          <w:szCs w:val="22"/>
        </w:rPr>
      </w:pPr>
      <w:r w:rsidRPr="0043649F">
        <w:rPr>
          <w:rFonts w:ascii="Verdana" w:hAnsi="Verdana"/>
          <w:b/>
          <w:bCs/>
          <w:sz w:val="22"/>
          <w:szCs w:val="22"/>
        </w:rPr>
        <w:t>Total Affordable Homes</w:t>
      </w:r>
      <w:r w:rsidRPr="0043649F">
        <w:rPr>
          <w:rFonts w:ascii="Verdana" w:hAnsi="Verdana"/>
          <w:b/>
          <w:bCs/>
          <w:sz w:val="22"/>
          <w:szCs w:val="22"/>
        </w:rPr>
        <w:tab/>
      </w:r>
      <w:r w:rsidRPr="0043649F">
        <w:rPr>
          <w:rFonts w:ascii="Verdana" w:hAnsi="Verdana"/>
          <w:b/>
          <w:bCs/>
          <w:sz w:val="22"/>
          <w:szCs w:val="22"/>
        </w:rPr>
        <w:tab/>
      </w:r>
      <w:r w:rsidRPr="0043649F">
        <w:rPr>
          <w:rFonts w:ascii="Verdana" w:hAnsi="Verdana"/>
          <w:b/>
          <w:bCs/>
          <w:sz w:val="22"/>
          <w:szCs w:val="22"/>
        </w:rPr>
        <w:tab/>
      </w:r>
      <w:r w:rsidRPr="0043649F">
        <w:rPr>
          <w:rFonts w:ascii="Verdana" w:hAnsi="Verdana"/>
          <w:b/>
          <w:bCs/>
          <w:sz w:val="22"/>
          <w:szCs w:val="22"/>
        </w:rPr>
        <w:tab/>
      </w:r>
      <w:r w:rsidR="00242FA2" w:rsidRPr="0043649F">
        <w:rPr>
          <w:rFonts w:ascii="Verdana" w:hAnsi="Verdana"/>
          <w:b/>
          <w:bCs/>
          <w:sz w:val="22"/>
          <w:szCs w:val="22"/>
        </w:rPr>
        <w:t>14</w:t>
      </w:r>
      <w:r w:rsidR="00FE1E6B" w:rsidRPr="0043649F">
        <w:rPr>
          <w:rFonts w:ascii="Verdana" w:hAnsi="Verdana"/>
          <w:b/>
          <w:bCs/>
          <w:sz w:val="22"/>
          <w:szCs w:val="22"/>
        </w:rPr>
        <w:t>2</w:t>
      </w:r>
    </w:p>
    <w:p w14:paraId="2FFA60CC" w14:textId="553565AC" w:rsidR="00F47E21" w:rsidRDefault="000E5C09" w:rsidP="003B4F5A">
      <w:pPr>
        <w:jc w:val="both"/>
        <w:rPr>
          <w:rFonts w:ascii="Verdana" w:hAnsi="Verdana"/>
          <w:sz w:val="22"/>
          <w:szCs w:val="22"/>
        </w:rPr>
      </w:pPr>
      <w:r w:rsidRPr="0043649F">
        <w:rPr>
          <w:rFonts w:ascii="Verdana" w:hAnsi="Verdana"/>
          <w:sz w:val="22"/>
          <w:szCs w:val="22"/>
        </w:rPr>
        <w:t>5.2</w:t>
      </w:r>
      <w:r w:rsidRPr="0043649F">
        <w:rPr>
          <w:rFonts w:ascii="Verdana" w:hAnsi="Verdana"/>
          <w:sz w:val="22"/>
          <w:szCs w:val="22"/>
        </w:rPr>
        <w:tab/>
      </w:r>
      <w:r w:rsidR="00E626EB" w:rsidRPr="0043649F">
        <w:rPr>
          <w:rFonts w:ascii="Verdana" w:hAnsi="Verdana"/>
          <w:sz w:val="22"/>
          <w:szCs w:val="22"/>
        </w:rPr>
        <w:t xml:space="preserve">The total number of housing completions </w:t>
      </w:r>
      <w:r w:rsidR="004946E3" w:rsidRPr="0043649F">
        <w:rPr>
          <w:rFonts w:ascii="Verdana" w:hAnsi="Verdana"/>
          <w:sz w:val="22"/>
          <w:szCs w:val="22"/>
        </w:rPr>
        <w:t>in 202</w:t>
      </w:r>
      <w:r w:rsidR="00790826" w:rsidRPr="0043649F">
        <w:rPr>
          <w:rFonts w:ascii="Verdana" w:hAnsi="Verdana"/>
          <w:sz w:val="22"/>
          <w:szCs w:val="22"/>
        </w:rPr>
        <w:t>4</w:t>
      </w:r>
      <w:r w:rsidR="004946E3" w:rsidRPr="0043649F">
        <w:rPr>
          <w:rFonts w:ascii="Verdana" w:hAnsi="Verdana"/>
          <w:sz w:val="22"/>
          <w:szCs w:val="22"/>
        </w:rPr>
        <w:t>/2</w:t>
      </w:r>
      <w:r w:rsidR="00790826" w:rsidRPr="0043649F">
        <w:rPr>
          <w:rFonts w:ascii="Verdana" w:hAnsi="Verdana"/>
          <w:sz w:val="22"/>
          <w:szCs w:val="22"/>
        </w:rPr>
        <w:t>5</w:t>
      </w:r>
      <w:r w:rsidR="004946E3" w:rsidRPr="0043649F">
        <w:rPr>
          <w:rFonts w:ascii="Verdana" w:hAnsi="Verdana"/>
          <w:sz w:val="22"/>
          <w:szCs w:val="22"/>
        </w:rPr>
        <w:t xml:space="preserve"> was</w:t>
      </w:r>
      <w:r w:rsidR="00687DEA" w:rsidRPr="0043649F">
        <w:rPr>
          <w:rFonts w:ascii="Verdana" w:hAnsi="Verdana"/>
          <w:sz w:val="22"/>
          <w:szCs w:val="22"/>
        </w:rPr>
        <w:t xml:space="preserve"> </w:t>
      </w:r>
      <w:r w:rsidR="005D2D6F" w:rsidRPr="0043649F">
        <w:rPr>
          <w:rFonts w:ascii="Verdana" w:hAnsi="Verdana"/>
          <w:sz w:val="22"/>
          <w:szCs w:val="22"/>
        </w:rPr>
        <w:t>40</w:t>
      </w:r>
      <w:r w:rsidR="004647FE" w:rsidRPr="0043649F">
        <w:rPr>
          <w:rFonts w:ascii="Verdana" w:hAnsi="Verdana"/>
          <w:sz w:val="22"/>
          <w:szCs w:val="22"/>
        </w:rPr>
        <w:t>0</w:t>
      </w:r>
      <w:r w:rsidR="004946E3" w:rsidRPr="0043649F">
        <w:rPr>
          <w:rFonts w:ascii="Verdana" w:hAnsi="Verdana"/>
          <w:sz w:val="22"/>
          <w:szCs w:val="22"/>
        </w:rPr>
        <w:t xml:space="preserve">.  </w:t>
      </w:r>
      <w:r w:rsidR="00360B16" w:rsidRPr="0043649F">
        <w:rPr>
          <w:rFonts w:ascii="Verdana" w:hAnsi="Verdana"/>
          <w:sz w:val="22"/>
          <w:szCs w:val="22"/>
        </w:rPr>
        <w:t xml:space="preserve">Therefore, the </w:t>
      </w:r>
      <w:r w:rsidR="00237E2E" w:rsidRPr="0043649F">
        <w:rPr>
          <w:rFonts w:ascii="Verdana" w:hAnsi="Verdana"/>
          <w:sz w:val="22"/>
          <w:szCs w:val="22"/>
        </w:rPr>
        <w:t>1</w:t>
      </w:r>
      <w:r w:rsidR="00B7647F" w:rsidRPr="0043649F">
        <w:rPr>
          <w:rFonts w:ascii="Verdana" w:hAnsi="Verdana"/>
          <w:sz w:val="22"/>
          <w:szCs w:val="22"/>
        </w:rPr>
        <w:t>4</w:t>
      </w:r>
      <w:r w:rsidR="00743DD8">
        <w:rPr>
          <w:rFonts w:ascii="Verdana" w:hAnsi="Verdana"/>
          <w:sz w:val="22"/>
          <w:szCs w:val="22"/>
        </w:rPr>
        <w:t>2</w:t>
      </w:r>
      <w:r w:rsidR="00360B16" w:rsidRPr="0043649F">
        <w:rPr>
          <w:rFonts w:ascii="Verdana" w:hAnsi="Verdana"/>
          <w:sz w:val="22"/>
          <w:szCs w:val="22"/>
        </w:rPr>
        <w:t xml:space="preserve"> affordable housing completions represents </w:t>
      </w:r>
      <w:r w:rsidR="001766E2" w:rsidRPr="0043649F">
        <w:rPr>
          <w:rFonts w:ascii="Verdana" w:hAnsi="Verdana"/>
          <w:sz w:val="22"/>
          <w:szCs w:val="22"/>
        </w:rPr>
        <w:t xml:space="preserve">approx. </w:t>
      </w:r>
      <w:r w:rsidR="00976FFA" w:rsidRPr="0043649F">
        <w:rPr>
          <w:rFonts w:ascii="Verdana" w:hAnsi="Verdana"/>
          <w:sz w:val="22"/>
          <w:szCs w:val="22"/>
        </w:rPr>
        <w:t>3</w:t>
      </w:r>
      <w:r w:rsidR="0043649F" w:rsidRPr="0043649F">
        <w:rPr>
          <w:rFonts w:ascii="Verdana" w:hAnsi="Verdana"/>
          <w:sz w:val="22"/>
          <w:szCs w:val="22"/>
        </w:rPr>
        <w:t>5.5</w:t>
      </w:r>
      <w:r w:rsidR="001766E2" w:rsidRPr="0043649F">
        <w:rPr>
          <w:rFonts w:ascii="Verdana" w:hAnsi="Verdana"/>
          <w:sz w:val="22"/>
          <w:szCs w:val="22"/>
        </w:rPr>
        <w:t xml:space="preserve">% per cent of the total number of new homes completed </w:t>
      </w:r>
      <w:r w:rsidR="00360B16" w:rsidRPr="0043649F">
        <w:rPr>
          <w:rFonts w:ascii="Verdana" w:hAnsi="Verdana"/>
          <w:sz w:val="22"/>
          <w:szCs w:val="22"/>
        </w:rPr>
        <w:t xml:space="preserve">for the </w:t>
      </w:r>
      <w:r w:rsidR="005D2D6F" w:rsidRPr="0043649F">
        <w:rPr>
          <w:rFonts w:ascii="Verdana" w:hAnsi="Verdana"/>
          <w:sz w:val="22"/>
          <w:szCs w:val="22"/>
        </w:rPr>
        <w:t xml:space="preserve">same </w:t>
      </w:r>
      <w:r w:rsidR="00360B16" w:rsidRPr="0043649F">
        <w:rPr>
          <w:rFonts w:ascii="Verdana" w:hAnsi="Verdana"/>
          <w:sz w:val="22"/>
          <w:szCs w:val="22"/>
        </w:rPr>
        <w:t>period</w:t>
      </w:r>
      <w:r w:rsidR="009B6BDA" w:rsidRPr="0043649F">
        <w:rPr>
          <w:rFonts w:ascii="Verdana" w:hAnsi="Verdana"/>
          <w:sz w:val="22"/>
          <w:szCs w:val="22"/>
        </w:rPr>
        <w:t>.</w:t>
      </w:r>
      <w:r w:rsidR="00F45638">
        <w:rPr>
          <w:rFonts w:ascii="Verdana" w:hAnsi="Verdana"/>
          <w:sz w:val="22"/>
          <w:szCs w:val="22"/>
        </w:rPr>
        <w:t xml:space="preserve">  Chart 5 below shows the amount of housing delivered in</w:t>
      </w:r>
      <w:r w:rsidR="00431B2C">
        <w:rPr>
          <w:rFonts w:ascii="Verdana" w:hAnsi="Verdana"/>
          <w:sz w:val="22"/>
          <w:szCs w:val="22"/>
        </w:rPr>
        <w:t xml:space="preserve"> relation to the amount of affordable housing delivered since 2021/22.</w:t>
      </w:r>
    </w:p>
    <w:p w14:paraId="64DE9128" w14:textId="22728F6C" w:rsidR="00704687" w:rsidRDefault="00704687" w:rsidP="003B4F5A">
      <w:pPr>
        <w:jc w:val="both"/>
        <w:rPr>
          <w:rFonts w:ascii="Verdana" w:hAnsi="Verdana"/>
          <w:sz w:val="22"/>
          <w:szCs w:val="22"/>
        </w:rPr>
      </w:pPr>
      <w:r>
        <w:rPr>
          <w:rFonts w:ascii="Verdana" w:hAnsi="Verdana"/>
          <w:sz w:val="22"/>
          <w:szCs w:val="22"/>
        </w:rPr>
        <w:t>Chart 5</w:t>
      </w:r>
    </w:p>
    <w:p w14:paraId="510DCA51" w14:textId="04392756" w:rsidR="0043649F" w:rsidRDefault="00F45638" w:rsidP="003B4F5A">
      <w:pPr>
        <w:jc w:val="both"/>
        <w:rPr>
          <w:rFonts w:ascii="Verdana" w:hAnsi="Verdana"/>
          <w:sz w:val="22"/>
          <w:szCs w:val="22"/>
        </w:rPr>
      </w:pPr>
      <w:r>
        <w:rPr>
          <w:noProof/>
        </w:rPr>
        <w:drawing>
          <wp:inline distT="0" distB="0" distL="0" distR="0" wp14:anchorId="1FA6BB47" wp14:editId="5A6B4CA3">
            <wp:extent cx="4572000" cy="2743200"/>
            <wp:effectExtent l="0" t="0" r="0" b="0"/>
            <wp:docPr id="677629434" name="Chart 1">
              <a:extLst xmlns:a="http://schemas.openxmlformats.org/drawingml/2006/main">
                <a:ext uri="{FF2B5EF4-FFF2-40B4-BE49-F238E27FC236}">
                  <a16:creationId xmlns:a16="http://schemas.microsoft.com/office/drawing/2014/main" id="{F56C20FB-DD2F-943A-F276-FBF4A7CD2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4269F7" w14:textId="224769E9" w:rsidR="005D6EAF" w:rsidRDefault="00635EC7" w:rsidP="003B4F5A">
      <w:pPr>
        <w:jc w:val="both"/>
        <w:rPr>
          <w:rFonts w:ascii="Verdana" w:hAnsi="Verdana"/>
          <w:sz w:val="22"/>
          <w:szCs w:val="22"/>
        </w:rPr>
      </w:pPr>
      <w:r>
        <w:rPr>
          <w:rFonts w:ascii="Verdana" w:hAnsi="Verdana"/>
          <w:sz w:val="22"/>
          <w:szCs w:val="22"/>
        </w:rPr>
        <w:t>Chart 6 below shows the percentage of affordable housing delivered compared to market housing since 2021/22.</w:t>
      </w:r>
    </w:p>
    <w:p w14:paraId="68692E2A" w14:textId="77777777" w:rsidR="00704687" w:rsidRDefault="00704687" w:rsidP="003B4F5A">
      <w:pPr>
        <w:jc w:val="both"/>
        <w:rPr>
          <w:rFonts w:ascii="Verdana" w:hAnsi="Verdana"/>
          <w:sz w:val="22"/>
          <w:szCs w:val="22"/>
        </w:rPr>
      </w:pPr>
    </w:p>
    <w:p w14:paraId="3D0B1460" w14:textId="77777777" w:rsidR="00704687" w:rsidRDefault="00704687" w:rsidP="003B4F5A">
      <w:pPr>
        <w:jc w:val="both"/>
        <w:rPr>
          <w:rFonts w:ascii="Verdana" w:hAnsi="Verdana"/>
          <w:sz w:val="22"/>
          <w:szCs w:val="22"/>
        </w:rPr>
      </w:pPr>
    </w:p>
    <w:p w14:paraId="03BF9CF0" w14:textId="77777777" w:rsidR="00704687" w:rsidRDefault="00704687" w:rsidP="003B4F5A">
      <w:pPr>
        <w:jc w:val="both"/>
        <w:rPr>
          <w:rFonts w:ascii="Verdana" w:hAnsi="Verdana"/>
          <w:sz w:val="22"/>
          <w:szCs w:val="22"/>
        </w:rPr>
      </w:pPr>
    </w:p>
    <w:p w14:paraId="7E1E26EA" w14:textId="77777777" w:rsidR="00704687" w:rsidRDefault="00704687" w:rsidP="003B4F5A">
      <w:pPr>
        <w:jc w:val="both"/>
        <w:rPr>
          <w:rFonts w:ascii="Verdana" w:hAnsi="Verdana"/>
          <w:sz w:val="22"/>
          <w:szCs w:val="22"/>
        </w:rPr>
      </w:pPr>
    </w:p>
    <w:p w14:paraId="3CCE4EC4" w14:textId="77777777" w:rsidR="00704687" w:rsidRDefault="00704687" w:rsidP="003B4F5A">
      <w:pPr>
        <w:jc w:val="both"/>
        <w:rPr>
          <w:rFonts w:ascii="Verdana" w:hAnsi="Verdana"/>
          <w:sz w:val="22"/>
          <w:szCs w:val="22"/>
        </w:rPr>
      </w:pPr>
    </w:p>
    <w:p w14:paraId="18649468" w14:textId="483BF535" w:rsidR="00704687" w:rsidRDefault="00704687" w:rsidP="003B4F5A">
      <w:pPr>
        <w:jc w:val="both"/>
        <w:rPr>
          <w:rFonts w:ascii="Verdana" w:hAnsi="Verdana"/>
          <w:sz w:val="22"/>
          <w:szCs w:val="22"/>
        </w:rPr>
      </w:pPr>
      <w:r>
        <w:rPr>
          <w:rFonts w:ascii="Verdana" w:hAnsi="Verdana"/>
          <w:sz w:val="22"/>
          <w:szCs w:val="22"/>
        </w:rPr>
        <w:t>Chart 6</w:t>
      </w:r>
    </w:p>
    <w:p w14:paraId="0C7E8098" w14:textId="65BCC2BE" w:rsidR="00704687" w:rsidRDefault="00564370" w:rsidP="00564370">
      <w:pPr>
        <w:jc w:val="both"/>
      </w:pPr>
      <w:r>
        <w:rPr>
          <w:rFonts w:ascii="Verdana" w:hAnsi="Verdana"/>
          <w:noProof/>
          <w:sz w:val="22"/>
          <w:szCs w:val="22"/>
        </w:rPr>
        <w:drawing>
          <wp:inline distT="0" distB="0" distL="0" distR="0" wp14:anchorId="1D94A718" wp14:editId="49A8819B">
            <wp:extent cx="4584700" cy="2755900"/>
            <wp:effectExtent l="0" t="0" r="6350" b="6350"/>
            <wp:docPr id="181122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1154A0" w14:textId="5D92DA6D" w:rsidR="007033DD" w:rsidRPr="007033DD" w:rsidRDefault="007033DD" w:rsidP="007033DD">
      <w:pPr>
        <w:pStyle w:val="Heading1"/>
        <w:rPr>
          <w:rFonts w:cstheme="majorHAnsi"/>
          <w:bCs/>
        </w:rPr>
      </w:pPr>
      <w:bookmarkStart w:id="7" w:name="_Toc206425397"/>
      <w:r w:rsidRPr="0043649F">
        <w:rPr>
          <w:rFonts w:cstheme="majorHAnsi"/>
          <w:bCs/>
        </w:rPr>
        <w:t>6.0</w:t>
      </w:r>
      <w:r w:rsidRPr="0043649F">
        <w:rPr>
          <w:rFonts w:cstheme="majorHAnsi"/>
          <w:bCs/>
        </w:rPr>
        <w:tab/>
        <w:t>Governance</w:t>
      </w:r>
      <w:bookmarkEnd w:id="7"/>
    </w:p>
    <w:p w14:paraId="67322D67" w14:textId="77777777" w:rsidR="007033DD" w:rsidRDefault="007033DD" w:rsidP="007033DD">
      <w:pPr>
        <w:rPr>
          <w:rFonts w:ascii="Verdana" w:hAnsi="Verdana"/>
          <w:sz w:val="22"/>
          <w:szCs w:val="22"/>
        </w:rPr>
      </w:pPr>
    </w:p>
    <w:p w14:paraId="6A29D3E1" w14:textId="40EC99F0" w:rsidR="006509DD" w:rsidRPr="007033DD" w:rsidRDefault="006509DD" w:rsidP="003B4F5A">
      <w:pPr>
        <w:jc w:val="both"/>
        <w:rPr>
          <w:rFonts w:ascii="Verdana" w:hAnsi="Verdana"/>
          <w:sz w:val="22"/>
          <w:szCs w:val="22"/>
        </w:rPr>
      </w:pPr>
      <w:r>
        <w:rPr>
          <w:rFonts w:ascii="Verdana" w:hAnsi="Verdana"/>
          <w:sz w:val="22"/>
          <w:szCs w:val="22"/>
        </w:rPr>
        <w:t>6.2</w:t>
      </w:r>
      <w:r w:rsidRPr="007033DD">
        <w:rPr>
          <w:rFonts w:ascii="Verdana" w:hAnsi="Verdana"/>
          <w:sz w:val="22"/>
          <w:szCs w:val="22"/>
        </w:rPr>
        <w:tab/>
        <w:t xml:space="preserve">The Council </w:t>
      </w:r>
      <w:r w:rsidR="003A1C69">
        <w:rPr>
          <w:rFonts w:ascii="Verdana" w:hAnsi="Verdana"/>
          <w:sz w:val="22"/>
          <w:szCs w:val="22"/>
        </w:rPr>
        <w:t xml:space="preserve">continues to </w:t>
      </w:r>
      <w:r w:rsidRPr="007033DD">
        <w:rPr>
          <w:rFonts w:ascii="Verdana" w:hAnsi="Verdana"/>
          <w:sz w:val="22"/>
          <w:szCs w:val="22"/>
        </w:rPr>
        <w:t>liais</w:t>
      </w:r>
      <w:r w:rsidR="003A1C69">
        <w:rPr>
          <w:rFonts w:ascii="Verdana" w:hAnsi="Verdana"/>
          <w:sz w:val="22"/>
          <w:szCs w:val="22"/>
        </w:rPr>
        <w:t>e</w:t>
      </w:r>
      <w:r w:rsidRPr="007033DD">
        <w:rPr>
          <w:rFonts w:ascii="Verdana" w:hAnsi="Verdana"/>
          <w:sz w:val="22"/>
          <w:szCs w:val="22"/>
        </w:rPr>
        <w:t xml:space="preserve"> with Essex County Council on the delivery of its infrastructure (</w:t>
      </w:r>
      <w:r w:rsidR="00B01509">
        <w:rPr>
          <w:rFonts w:ascii="Verdana" w:hAnsi="Verdana"/>
          <w:sz w:val="22"/>
          <w:szCs w:val="22"/>
        </w:rPr>
        <w:t xml:space="preserve">primary and secondary </w:t>
      </w:r>
      <w:r w:rsidRPr="007033DD">
        <w:rPr>
          <w:rFonts w:ascii="Verdana" w:hAnsi="Verdana"/>
          <w:sz w:val="22"/>
          <w:szCs w:val="22"/>
        </w:rPr>
        <w:t>schools’ expansion, early</w:t>
      </w:r>
      <w:r w:rsidR="00B01509">
        <w:rPr>
          <w:rFonts w:ascii="Verdana" w:hAnsi="Verdana"/>
          <w:sz w:val="22"/>
          <w:szCs w:val="22"/>
        </w:rPr>
        <w:t>-</w:t>
      </w:r>
      <w:r w:rsidRPr="007033DD">
        <w:rPr>
          <w:rFonts w:ascii="Verdana" w:hAnsi="Verdana"/>
          <w:sz w:val="22"/>
          <w:szCs w:val="22"/>
        </w:rPr>
        <w:t>years</w:t>
      </w:r>
      <w:r w:rsidR="00B01509">
        <w:rPr>
          <w:rFonts w:ascii="Verdana" w:hAnsi="Verdana"/>
          <w:sz w:val="22"/>
          <w:szCs w:val="22"/>
        </w:rPr>
        <w:t xml:space="preserve"> facilities</w:t>
      </w:r>
      <w:r w:rsidRPr="007033DD">
        <w:rPr>
          <w:rFonts w:ascii="Verdana" w:hAnsi="Verdana"/>
          <w:sz w:val="22"/>
          <w:szCs w:val="22"/>
        </w:rPr>
        <w:t>, highways, etc.) to establish a better understanding of infrastructure upgrade</w:t>
      </w:r>
      <w:r w:rsidR="00D77798">
        <w:rPr>
          <w:rFonts w:ascii="Verdana" w:hAnsi="Verdana"/>
          <w:sz w:val="22"/>
          <w:szCs w:val="22"/>
        </w:rPr>
        <w:t>s and</w:t>
      </w:r>
      <w:r w:rsidRPr="007033DD" w:rsidDel="00D77798">
        <w:rPr>
          <w:rFonts w:ascii="Verdana" w:hAnsi="Verdana"/>
          <w:sz w:val="22"/>
          <w:szCs w:val="22"/>
        </w:rPr>
        <w:t xml:space="preserve"> </w:t>
      </w:r>
      <w:r w:rsidR="002224FC">
        <w:rPr>
          <w:rFonts w:ascii="Verdana" w:hAnsi="Verdana"/>
          <w:sz w:val="22"/>
          <w:szCs w:val="22"/>
        </w:rPr>
        <w:t xml:space="preserve">its </w:t>
      </w:r>
      <w:r w:rsidR="00D77798">
        <w:rPr>
          <w:rFonts w:ascii="Verdana" w:hAnsi="Verdana"/>
          <w:sz w:val="22"/>
          <w:szCs w:val="22"/>
        </w:rPr>
        <w:t xml:space="preserve">project </w:t>
      </w:r>
      <w:r w:rsidRPr="007033DD">
        <w:rPr>
          <w:rFonts w:ascii="Verdana" w:hAnsi="Verdana"/>
          <w:sz w:val="22"/>
          <w:szCs w:val="22"/>
        </w:rPr>
        <w:t xml:space="preserve">delivery timetables. This will not only provide a clearer picture of </w:t>
      </w:r>
      <w:r w:rsidR="00F47E21" w:rsidRPr="007033DD">
        <w:rPr>
          <w:rFonts w:ascii="Verdana" w:hAnsi="Verdana"/>
          <w:sz w:val="22"/>
          <w:szCs w:val="22"/>
        </w:rPr>
        <w:t>delivery</w:t>
      </w:r>
      <w:r w:rsidR="00F47E21">
        <w:rPr>
          <w:rFonts w:ascii="Verdana" w:hAnsi="Verdana"/>
          <w:sz w:val="22"/>
          <w:szCs w:val="22"/>
        </w:rPr>
        <w:t xml:space="preserve"> but</w:t>
      </w:r>
      <w:r w:rsidRPr="007033DD">
        <w:rPr>
          <w:rFonts w:ascii="Verdana" w:hAnsi="Verdana"/>
          <w:sz w:val="22"/>
          <w:szCs w:val="22"/>
        </w:rPr>
        <w:t xml:space="preserve"> will assist in planning for new infrastructure within the LDP </w:t>
      </w:r>
      <w:r w:rsidR="00D77798">
        <w:rPr>
          <w:rFonts w:ascii="Verdana" w:hAnsi="Verdana"/>
          <w:sz w:val="22"/>
          <w:szCs w:val="22"/>
        </w:rPr>
        <w:t>R</w:t>
      </w:r>
      <w:r w:rsidRPr="007033DD">
        <w:rPr>
          <w:rFonts w:ascii="Verdana" w:hAnsi="Verdana"/>
          <w:sz w:val="22"/>
          <w:szCs w:val="22"/>
        </w:rPr>
        <w:t>eview.</w:t>
      </w:r>
      <w:r>
        <w:rPr>
          <w:rFonts w:ascii="Verdana" w:hAnsi="Verdana"/>
          <w:sz w:val="22"/>
          <w:szCs w:val="22"/>
        </w:rPr>
        <w:t xml:space="preserve">  Officers </w:t>
      </w:r>
      <w:r w:rsidR="003A1C69">
        <w:rPr>
          <w:rFonts w:ascii="Verdana" w:hAnsi="Verdana"/>
          <w:sz w:val="22"/>
          <w:szCs w:val="22"/>
        </w:rPr>
        <w:t xml:space="preserve">in general </w:t>
      </w:r>
      <w:r>
        <w:rPr>
          <w:rFonts w:ascii="Verdana" w:hAnsi="Verdana"/>
          <w:sz w:val="22"/>
          <w:szCs w:val="22"/>
        </w:rPr>
        <w:t>meet with ECC on a 6</w:t>
      </w:r>
      <w:r w:rsidR="00F47E21">
        <w:rPr>
          <w:rFonts w:ascii="Verdana" w:hAnsi="Verdana"/>
          <w:sz w:val="22"/>
          <w:szCs w:val="22"/>
        </w:rPr>
        <w:t>-</w:t>
      </w:r>
      <w:r>
        <w:rPr>
          <w:rFonts w:ascii="Verdana" w:hAnsi="Verdana"/>
          <w:sz w:val="22"/>
          <w:szCs w:val="22"/>
        </w:rPr>
        <w:t>weekly cycle</w:t>
      </w:r>
      <w:r w:rsidR="000A1E17">
        <w:rPr>
          <w:rFonts w:ascii="Verdana" w:hAnsi="Verdana"/>
          <w:sz w:val="22"/>
          <w:szCs w:val="22"/>
        </w:rPr>
        <w:t xml:space="preserve"> and ensure that liaison is occurring when there is potential </w:t>
      </w:r>
      <w:r w:rsidR="00D77798">
        <w:rPr>
          <w:rFonts w:ascii="Verdana" w:hAnsi="Verdana"/>
          <w:sz w:val="22"/>
          <w:szCs w:val="22"/>
        </w:rPr>
        <w:t xml:space="preserve">for </w:t>
      </w:r>
      <w:r w:rsidR="00EC0087">
        <w:rPr>
          <w:rFonts w:ascii="Verdana" w:hAnsi="Verdana"/>
          <w:sz w:val="22"/>
          <w:szCs w:val="22"/>
        </w:rPr>
        <w:t xml:space="preserve">combined or overlapping </w:t>
      </w:r>
      <w:r w:rsidR="000A1E17">
        <w:rPr>
          <w:rFonts w:ascii="Verdana" w:hAnsi="Verdana"/>
          <w:sz w:val="22"/>
          <w:szCs w:val="22"/>
        </w:rPr>
        <w:t>health and ECC infrastructure</w:t>
      </w:r>
      <w:r>
        <w:rPr>
          <w:rFonts w:ascii="Verdana" w:hAnsi="Verdana"/>
          <w:sz w:val="22"/>
          <w:szCs w:val="22"/>
        </w:rPr>
        <w:t>.</w:t>
      </w:r>
      <w:r w:rsidR="00F62431">
        <w:rPr>
          <w:rFonts w:ascii="Verdana" w:hAnsi="Verdana"/>
          <w:sz w:val="22"/>
          <w:szCs w:val="22"/>
        </w:rPr>
        <w:t xml:space="preserve">  Essex</w:t>
      </w:r>
      <w:r w:rsidR="00560BBD">
        <w:rPr>
          <w:rFonts w:ascii="Verdana" w:hAnsi="Verdana"/>
          <w:sz w:val="22"/>
          <w:szCs w:val="22"/>
        </w:rPr>
        <w:t xml:space="preserve"> County Council produces its own Infrastructure Funding Statement, the details of which can be found on their website. </w:t>
      </w:r>
      <w:hyperlink r:id="rId21" w:history="1">
        <w:r w:rsidR="00246BE3" w:rsidRPr="00D52DCD">
          <w:rPr>
            <w:rStyle w:val="Hyperlink"/>
            <w:rFonts w:ascii="Verdana" w:hAnsi="Verdana"/>
            <w:sz w:val="22"/>
            <w:szCs w:val="22"/>
          </w:rPr>
          <w:t>www.essex.gov.uk/planning-land-and-recycling/planning-and-development/planning-advice-and-guidance/guidance</w:t>
        </w:r>
      </w:hyperlink>
      <w:r w:rsidR="00246BE3">
        <w:rPr>
          <w:rFonts w:ascii="Verdana" w:hAnsi="Verdana"/>
          <w:sz w:val="22"/>
          <w:szCs w:val="22"/>
        </w:rPr>
        <w:t xml:space="preserve"> </w:t>
      </w:r>
    </w:p>
    <w:p w14:paraId="004105A3" w14:textId="48179BAC" w:rsidR="007033DD" w:rsidRDefault="000A1E17" w:rsidP="003B4F5A">
      <w:pPr>
        <w:jc w:val="both"/>
        <w:rPr>
          <w:rFonts w:ascii="Verdana" w:hAnsi="Verdana"/>
          <w:sz w:val="22"/>
          <w:szCs w:val="22"/>
        </w:rPr>
      </w:pPr>
      <w:r>
        <w:rPr>
          <w:rFonts w:ascii="Verdana" w:hAnsi="Verdana"/>
          <w:sz w:val="22"/>
          <w:szCs w:val="22"/>
        </w:rPr>
        <w:t>6</w:t>
      </w:r>
      <w:r w:rsidR="007033DD" w:rsidRPr="007033DD">
        <w:rPr>
          <w:rFonts w:ascii="Verdana" w:hAnsi="Verdana"/>
          <w:sz w:val="22"/>
          <w:szCs w:val="22"/>
        </w:rPr>
        <w:t xml:space="preserve">.3 </w:t>
      </w:r>
      <w:r w:rsidR="007033DD" w:rsidRPr="007033DD">
        <w:rPr>
          <w:rFonts w:ascii="Verdana" w:hAnsi="Verdana"/>
          <w:sz w:val="22"/>
          <w:szCs w:val="22"/>
        </w:rPr>
        <w:tab/>
      </w:r>
      <w:r w:rsidR="005D2D6F">
        <w:rPr>
          <w:rFonts w:ascii="Verdana" w:hAnsi="Verdana"/>
          <w:sz w:val="22"/>
          <w:szCs w:val="22"/>
        </w:rPr>
        <w:t>In 2024, t</w:t>
      </w:r>
      <w:r w:rsidR="00D46BAD">
        <w:rPr>
          <w:rFonts w:ascii="Verdana" w:hAnsi="Verdana"/>
          <w:sz w:val="22"/>
          <w:szCs w:val="22"/>
        </w:rPr>
        <w:t xml:space="preserve">he Council </w:t>
      </w:r>
      <w:r w:rsidR="003A1C69">
        <w:rPr>
          <w:rFonts w:ascii="Verdana" w:hAnsi="Verdana"/>
          <w:sz w:val="22"/>
          <w:szCs w:val="22"/>
        </w:rPr>
        <w:t xml:space="preserve">appointed a </w:t>
      </w:r>
      <w:r w:rsidR="005D2D6F">
        <w:rPr>
          <w:rFonts w:ascii="Verdana" w:hAnsi="Verdana"/>
          <w:sz w:val="22"/>
          <w:szCs w:val="22"/>
        </w:rPr>
        <w:t>P</w:t>
      </w:r>
      <w:r w:rsidR="003A1C69">
        <w:rPr>
          <w:rFonts w:ascii="Verdana" w:hAnsi="Verdana"/>
          <w:sz w:val="22"/>
          <w:szCs w:val="22"/>
        </w:rPr>
        <w:t xml:space="preserve">roject </w:t>
      </w:r>
      <w:r w:rsidR="005D2D6F">
        <w:rPr>
          <w:rFonts w:ascii="Verdana" w:hAnsi="Verdana"/>
          <w:sz w:val="22"/>
          <w:szCs w:val="22"/>
        </w:rPr>
        <w:t>Manager</w:t>
      </w:r>
      <w:r w:rsidR="003A1C69">
        <w:rPr>
          <w:rFonts w:ascii="Verdana" w:hAnsi="Verdana"/>
          <w:sz w:val="22"/>
          <w:szCs w:val="22"/>
        </w:rPr>
        <w:t xml:space="preserve"> to deliver youth facilities</w:t>
      </w:r>
      <w:r w:rsidR="006D0F95">
        <w:rPr>
          <w:rFonts w:ascii="Verdana" w:hAnsi="Verdana"/>
          <w:sz w:val="22"/>
          <w:szCs w:val="22"/>
        </w:rPr>
        <w:t xml:space="preserve"> and Open Space Local </w:t>
      </w:r>
      <w:r w:rsidR="00D9189E">
        <w:rPr>
          <w:rFonts w:ascii="Verdana" w:hAnsi="Verdana"/>
          <w:sz w:val="22"/>
          <w:szCs w:val="22"/>
        </w:rPr>
        <w:t>Equipped Area for Play (LEAPs)</w:t>
      </w:r>
      <w:r w:rsidR="005D2D6F">
        <w:rPr>
          <w:rFonts w:ascii="Verdana" w:hAnsi="Verdana"/>
          <w:sz w:val="22"/>
          <w:szCs w:val="22"/>
        </w:rPr>
        <w:t xml:space="preserve"> in the District using S106 funding collected from various developments in Maldon and Burnham</w:t>
      </w:r>
      <w:r w:rsidR="007A00B4">
        <w:rPr>
          <w:rFonts w:ascii="Verdana" w:hAnsi="Verdana"/>
          <w:sz w:val="22"/>
          <w:szCs w:val="22"/>
        </w:rPr>
        <w:t>.</w:t>
      </w:r>
      <w:r w:rsidR="00100CD9">
        <w:rPr>
          <w:rFonts w:ascii="Verdana" w:hAnsi="Verdana"/>
          <w:sz w:val="22"/>
          <w:szCs w:val="22"/>
        </w:rPr>
        <w:t xml:space="preserve">  This project is now starting to come forward and will be completed in 2025/26.</w:t>
      </w:r>
    </w:p>
    <w:p w14:paraId="589BB9E8" w14:textId="1214FA93" w:rsidR="00153C06" w:rsidRDefault="00AA15D4" w:rsidP="00547FB3">
      <w:pPr>
        <w:jc w:val="both"/>
        <w:rPr>
          <w:rFonts w:ascii="Verdana" w:hAnsi="Verdana"/>
          <w:sz w:val="22"/>
          <w:szCs w:val="22"/>
        </w:rPr>
      </w:pPr>
      <w:r>
        <w:rPr>
          <w:rFonts w:ascii="Verdana" w:hAnsi="Verdana"/>
          <w:sz w:val="22"/>
          <w:szCs w:val="22"/>
        </w:rPr>
        <w:t xml:space="preserve">6.4 </w:t>
      </w:r>
      <w:r>
        <w:rPr>
          <w:rFonts w:ascii="Verdana" w:hAnsi="Verdana"/>
          <w:sz w:val="22"/>
          <w:szCs w:val="22"/>
        </w:rPr>
        <w:tab/>
      </w:r>
      <w:r w:rsidR="00481CF4">
        <w:rPr>
          <w:rFonts w:ascii="Verdana" w:hAnsi="Verdana"/>
          <w:sz w:val="22"/>
          <w:szCs w:val="22"/>
        </w:rPr>
        <w:t>In the interests of transparency, a</w:t>
      </w:r>
      <w:r>
        <w:rPr>
          <w:rFonts w:ascii="Verdana" w:hAnsi="Verdana"/>
          <w:sz w:val="22"/>
          <w:szCs w:val="22"/>
        </w:rPr>
        <w:t>longside this IFS</w:t>
      </w:r>
      <w:r w:rsidR="00481CF4">
        <w:rPr>
          <w:rFonts w:ascii="Verdana" w:hAnsi="Verdana"/>
          <w:sz w:val="22"/>
          <w:szCs w:val="22"/>
        </w:rPr>
        <w:t xml:space="preserve"> and available to download from our website,</w:t>
      </w:r>
      <w:r>
        <w:rPr>
          <w:rFonts w:ascii="Verdana" w:hAnsi="Verdana"/>
          <w:sz w:val="22"/>
          <w:szCs w:val="22"/>
        </w:rPr>
        <w:t xml:space="preserve"> is an </w:t>
      </w:r>
      <w:proofErr w:type="spellStart"/>
      <w:r w:rsidR="00481CF4">
        <w:rPr>
          <w:rFonts w:ascii="Verdana" w:hAnsi="Verdana"/>
          <w:sz w:val="22"/>
          <w:szCs w:val="22"/>
        </w:rPr>
        <w:t>MSE</w:t>
      </w:r>
      <w:r>
        <w:rPr>
          <w:rFonts w:ascii="Verdana" w:hAnsi="Verdana"/>
          <w:sz w:val="22"/>
          <w:szCs w:val="22"/>
        </w:rPr>
        <w:t>xcel</w:t>
      </w:r>
      <w:proofErr w:type="spellEnd"/>
      <w:r>
        <w:rPr>
          <w:rFonts w:ascii="Verdana" w:hAnsi="Verdana"/>
          <w:sz w:val="22"/>
          <w:szCs w:val="22"/>
        </w:rPr>
        <w:t xml:space="preserve"> spreadsheet of all the S106 agreement</w:t>
      </w:r>
      <w:r w:rsidR="006E08DE">
        <w:rPr>
          <w:rFonts w:ascii="Verdana" w:hAnsi="Verdana"/>
          <w:sz w:val="22"/>
          <w:szCs w:val="22"/>
        </w:rPr>
        <w:t>s relating to the District.  The spreadsheet sets out the funding due</w:t>
      </w:r>
      <w:r w:rsidR="00046CAE">
        <w:rPr>
          <w:rFonts w:ascii="Verdana" w:hAnsi="Verdana"/>
          <w:sz w:val="22"/>
          <w:szCs w:val="22"/>
        </w:rPr>
        <w:t>-</w:t>
      </w:r>
      <w:r w:rsidR="006E08DE">
        <w:rPr>
          <w:rFonts w:ascii="Verdana" w:hAnsi="Verdana"/>
          <w:sz w:val="22"/>
          <w:szCs w:val="22"/>
        </w:rPr>
        <w:t xml:space="preserve">in, received and spent and what </w:t>
      </w:r>
      <w:r w:rsidR="00275F85">
        <w:rPr>
          <w:rFonts w:ascii="Verdana" w:hAnsi="Verdana"/>
          <w:sz w:val="22"/>
          <w:szCs w:val="22"/>
        </w:rPr>
        <w:t xml:space="preserve">each clause in the agreements relate to.  </w:t>
      </w:r>
    </w:p>
    <w:p w14:paraId="7238FF96" w14:textId="77777777" w:rsidR="0088589D" w:rsidRDefault="0088589D" w:rsidP="00181EED">
      <w:pPr>
        <w:rPr>
          <w:rFonts w:ascii="Verdana" w:hAnsi="Verdana"/>
          <w:sz w:val="22"/>
          <w:szCs w:val="22"/>
        </w:rPr>
      </w:pPr>
    </w:p>
    <w:sectPr w:rsidR="0088589D" w:rsidSect="00C16BCA">
      <w:pgSz w:w="11906" w:h="16838"/>
      <w:pgMar w:top="1440" w:right="849"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AD99B" w14:textId="77777777" w:rsidR="008465AB" w:rsidRDefault="008465AB" w:rsidP="009320BF">
      <w:pPr>
        <w:spacing w:after="0" w:line="240" w:lineRule="auto"/>
      </w:pPr>
      <w:r>
        <w:separator/>
      </w:r>
    </w:p>
  </w:endnote>
  <w:endnote w:type="continuationSeparator" w:id="0">
    <w:p w14:paraId="44D6083C" w14:textId="77777777" w:rsidR="008465AB" w:rsidRDefault="008465AB" w:rsidP="009320BF">
      <w:pPr>
        <w:spacing w:after="0" w:line="240" w:lineRule="auto"/>
      </w:pPr>
      <w:r>
        <w:continuationSeparator/>
      </w:r>
    </w:p>
  </w:endnote>
  <w:endnote w:type="continuationNotice" w:id="1">
    <w:p w14:paraId="37A7E540" w14:textId="77777777" w:rsidR="008465AB" w:rsidRDefault="00846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Device Font 10cpi"/>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AA336" w14:textId="77777777" w:rsidR="008465AB" w:rsidRDefault="008465AB" w:rsidP="009320BF">
      <w:pPr>
        <w:spacing w:after="0" w:line="240" w:lineRule="auto"/>
      </w:pPr>
      <w:r>
        <w:separator/>
      </w:r>
    </w:p>
  </w:footnote>
  <w:footnote w:type="continuationSeparator" w:id="0">
    <w:p w14:paraId="20A3BDCC" w14:textId="77777777" w:rsidR="008465AB" w:rsidRDefault="008465AB" w:rsidP="009320BF">
      <w:pPr>
        <w:spacing w:after="0" w:line="240" w:lineRule="auto"/>
      </w:pPr>
      <w:r>
        <w:continuationSeparator/>
      </w:r>
    </w:p>
  </w:footnote>
  <w:footnote w:type="continuationNotice" w:id="1">
    <w:p w14:paraId="6F200068" w14:textId="77777777" w:rsidR="008465AB" w:rsidRDefault="008465AB">
      <w:pPr>
        <w:spacing w:after="0" w:line="240" w:lineRule="auto"/>
      </w:pPr>
    </w:p>
  </w:footnote>
  <w:footnote w:id="2">
    <w:p w14:paraId="6D6352EF" w14:textId="3436AB71" w:rsidR="00673FD0" w:rsidRDefault="00673FD0">
      <w:pPr>
        <w:pStyle w:val="FootnoteText"/>
      </w:pPr>
      <w:r>
        <w:rPr>
          <w:rStyle w:val="FootnoteReference"/>
        </w:rPr>
        <w:footnoteRef/>
      </w:r>
      <w:r>
        <w:t xml:space="preserve"> Via Section 278 Agreements</w:t>
      </w:r>
      <w:r w:rsidR="00725293">
        <w:t xml:space="preserve"> (Highway Act 1980)</w:t>
      </w:r>
    </w:p>
  </w:footnote>
  <w:footnote w:id="3">
    <w:p w14:paraId="10D8643E" w14:textId="51CC7B95" w:rsidR="00140976" w:rsidRDefault="00140976">
      <w:pPr>
        <w:pStyle w:val="FootnoteText"/>
      </w:pPr>
      <w:r>
        <w:rPr>
          <w:rStyle w:val="FootnoteReference"/>
        </w:rPr>
        <w:footnoteRef/>
      </w:r>
      <w:r>
        <w:t xml:space="preserve"> </w:t>
      </w:r>
      <w:hyperlink r:id="rId1" w:history="1">
        <w:r>
          <w:rPr>
            <w:rStyle w:val="Hyperlink"/>
          </w:rPr>
          <w:t>https://www.essex.gov.uk/planning-land-and-recycling/planning-and-development/planning-advice-and-guidance/guidance</w:t>
        </w:r>
      </w:hyperlink>
      <w:r>
        <w:t xml:space="preserve">  </w:t>
      </w:r>
    </w:p>
  </w:footnote>
  <w:footnote w:id="4">
    <w:p w14:paraId="5A72C3A0" w14:textId="10BAB29C" w:rsidR="00470224" w:rsidRDefault="00470224">
      <w:pPr>
        <w:pStyle w:val="FootnoteText"/>
      </w:pPr>
      <w:r>
        <w:rPr>
          <w:rStyle w:val="FootnoteReference"/>
        </w:rPr>
        <w:footnoteRef/>
      </w:r>
      <w:r>
        <w:t xml:space="preserve"> </w:t>
      </w:r>
      <w:hyperlink r:id="rId2" w:history="1">
        <w:r>
          <w:rPr>
            <w:rStyle w:val="Hyperlink"/>
          </w:rPr>
          <w:t>https://www.maldon.gov.uk/info/7050/planning_policy/9810/infrastructure_delivery</w:t>
        </w:r>
      </w:hyperlink>
    </w:p>
  </w:footnote>
  <w:footnote w:id="5">
    <w:p w14:paraId="7B52DC01" w14:textId="77777777" w:rsidR="001766E2" w:rsidRDefault="001766E2" w:rsidP="001766E2">
      <w:pPr>
        <w:pStyle w:val="FootnoteText"/>
        <w:rPr>
          <w:rFonts w:ascii="Arial" w:eastAsia="Calibri" w:hAnsi="Arial" w:cs="Arial"/>
          <w:sz w:val="18"/>
          <w:szCs w:val="18"/>
        </w:rPr>
      </w:pPr>
      <w:r>
        <w:rPr>
          <w:rStyle w:val="FootnoteReference"/>
        </w:rPr>
        <w:footnoteRef/>
      </w:r>
      <w:r>
        <w:t xml:space="preserve"> </w:t>
      </w:r>
      <w:r w:rsidRPr="00466469">
        <w:rPr>
          <w:rFonts w:ascii="Arial" w:eastAsia="Calibri" w:hAnsi="Arial" w:cs="Arial"/>
          <w:sz w:val="18"/>
          <w:szCs w:val="18"/>
        </w:rPr>
        <w:t xml:space="preserve">Since the introduction of the Government’s First Homes Scheme in May 2021, the term may also include homes that are made available on the free market with a government subsidy for the first owners of new homes. </w:t>
      </w:r>
    </w:p>
    <w:p w14:paraId="068208CE" w14:textId="77777777" w:rsidR="005D2D6F" w:rsidRDefault="005D2D6F" w:rsidP="001766E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D6375"/>
    <w:multiLevelType w:val="hybridMultilevel"/>
    <w:tmpl w:val="AFDE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B26F4"/>
    <w:multiLevelType w:val="hybridMultilevel"/>
    <w:tmpl w:val="17D83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992B73"/>
    <w:multiLevelType w:val="hybridMultilevel"/>
    <w:tmpl w:val="3944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D36F1F"/>
    <w:multiLevelType w:val="hybridMultilevel"/>
    <w:tmpl w:val="8BE43C8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 w15:restartNumberingAfterBreak="0">
    <w:nsid w:val="47293684"/>
    <w:multiLevelType w:val="hybridMultilevel"/>
    <w:tmpl w:val="2E4C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6F587A"/>
    <w:multiLevelType w:val="hybridMultilevel"/>
    <w:tmpl w:val="FE3A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40A14"/>
    <w:multiLevelType w:val="hybridMultilevel"/>
    <w:tmpl w:val="925A15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66FE75D1"/>
    <w:multiLevelType w:val="hybridMultilevel"/>
    <w:tmpl w:val="2C5C320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8" w15:restartNumberingAfterBreak="0">
    <w:nsid w:val="7D3A5F1F"/>
    <w:multiLevelType w:val="multilevel"/>
    <w:tmpl w:val="BCEC21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9228166">
    <w:abstractNumId w:val="3"/>
  </w:num>
  <w:num w:numId="2" w16cid:durableId="909388026">
    <w:abstractNumId w:val="8"/>
  </w:num>
  <w:num w:numId="3" w16cid:durableId="733238692">
    <w:abstractNumId w:val="7"/>
  </w:num>
  <w:num w:numId="4" w16cid:durableId="666204825">
    <w:abstractNumId w:val="4"/>
  </w:num>
  <w:num w:numId="5" w16cid:durableId="253787954">
    <w:abstractNumId w:val="1"/>
  </w:num>
  <w:num w:numId="6" w16cid:durableId="1377004361">
    <w:abstractNumId w:val="2"/>
  </w:num>
  <w:num w:numId="7" w16cid:durableId="1232235965">
    <w:abstractNumId w:val="6"/>
  </w:num>
  <w:num w:numId="8" w16cid:durableId="1733427896">
    <w:abstractNumId w:val="5"/>
  </w:num>
  <w:num w:numId="9" w16cid:durableId="1025713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A0"/>
    <w:rsid w:val="000119FA"/>
    <w:rsid w:val="00027ED8"/>
    <w:rsid w:val="00030C54"/>
    <w:rsid w:val="00040EEF"/>
    <w:rsid w:val="00046CAE"/>
    <w:rsid w:val="0005483F"/>
    <w:rsid w:val="000615D3"/>
    <w:rsid w:val="000630F1"/>
    <w:rsid w:val="00063395"/>
    <w:rsid w:val="000701A6"/>
    <w:rsid w:val="00070790"/>
    <w:rsid w:val="00071FD3"/>
    <w:rsid w:val="00073BEF"/>
    <w:rsid w:val="000A1E17"/>
    <w:rsid w:val="000A595B"/>
    <w:rsid w:val="000B3B36"/>
    <w:rsid w:val="000B7773"/>
    <w:rsid w:val="000C3496"/>
    <w:rsid w:val="000D1774"/>
    <w:rsid w:val="000D31FB"/>
    <w:rsid w:val="000D37D2"/>
    <w:rsid w:val="000D7E7E"/>
    <w:rsid w:val="000E19AF"/>
    <w:rsid w:val="000E31DD"/>
    <w:rsid w:val="000E5C09"/>
    <w:rsid w:val="000F6CBA"/>
    <w:rsid w:val="00100CD9"/>
    <w:rsid w:val="00104A4F"/>
    <w:rsid w:val="001052C9"/>
    <w:rsid w:val="001130BD"/>
    <w:rsid w:val="00114828"/>
    <w:rsid w:val="001166FB"/>
    <w:rsid w:val="001251B1"/>
    <w:rsid w:val="00127ED7"/>
    <w:rsid w:val="0013043A"/>
    <w:rsid w:val="00133387"/>
    <w:rsid w:val="00140976"/>
    <w:rsid w:val="00147A62"/>
    <w:rsid w:val="00151F89"/>
    <w:rsid w:val="00152172"/>
    <w:rsid w:val="00153C06"/>
    <w:rsid w:val="00163352"/>
    <w:rsid w:val="00163871"/>
    <w:rsid w:val="00166373"/>
    <w:rsid w:val="00166E57"/>
    <w:rsid w:val="00170711"/>
    <w:rsid w:val="001708CE"/>
    <w:rsid w:val="001766E2"/>
    <w:rsid w:val="00181EED"/>
    <w:rsid w:val="0018352B"/>
    <w:rsid w:val="001869FB"/>
    <w:rsid w:val="00186A7B"/>
    <w:rsid w:val="00190221"/>
    <w:rsid w:val="00194D31"/>
    <w:rsid w:val="001A3FBA"/>
    <w:rsid w:val="001B13F8"/>
    <w:rsid w:val="001C3B47"/>
    <w:rsid w:val="001D14C1"/>
    <w:rsid w:val="001D30BD"/>
    <w:rsid w:val="001D7840"/>
    <w:rsid w:val="001E0F37"/>
    <w:rsid w:val="001E727A"/>
    <w:rsid w:val="001F3918"/>
    <w:rsid w:val="001F3CD0"/>
    <w:rsid w:val="001F3D4E"/>
    <w:rsid w:val="001F4810"/>
    <w:rsid w:val="00211E3D"/>
    <w:rsid w:val="002122AA"/>
    <w:rsid w:val="00213B9C"/>
    <w:rsid w:val="002224FC"/>
    <w:rsid w:val="0022367D"/>
    <w:rsid w:val="00224253"/>
    <w:rsid w:val="002250A1"/>
    <w:rsid w:val="002250B2"/>
    <w:rsid w:val="002265F5"/>
    <w:rsid w:val="002353A5"/>
    <w:rsid w:val="0023788A"/>
    <w:rsid w:val="00237E2E"/>
    <w:rsid w:val="00242FA2"/>
    <w:rsid w:val="002438AE"/>
    <w:rsid w:val="00244884"/>
    <w:rsid w:val="00246BE3"/>
    <w:rsid w:val="00251621"/>
    <w:rsid w:val="002543E3"/>
    <w:rsid w:val="00260268"/>
    <w:rsid w:val="00275F85"/>
    <w:rsid w:val="002856AD"/>
    <w:rsid w:val="0028652E"/>
    <w:rsid w:val="002967D9"/>
    <w:rsid w:val="002977A1"/>
    <w:rsid w:val="0029792E"/>
    <w:rsid w:val="002B111B"/>
    <w:rsid w:val="002B57C3"/>
    <w:rsid w:val="002C6BD8"/>
    <w:rsid w:val="002D26BE"/>
    <w:rsid w:val="002D71BA"/>
    <w:rsid w:val="002E6BF6"/>
    <w:rsid w:val="002F398E"/>
    <w:rsid w:val="00303F70"/>
    <w:rsid w:val="0030725A"/>
    <w:rsid w:val="003129AF"/>
    <w:rsid w:val="00317759"/>
    <w:rsid w:val="00322818"/>
    <w:rsid w:val="00323A10"/>
    <w:rsid w:val="003251C5"/>
    <w:rsid w:val="0033072B"/>
    <w:rsid w:val="00334E26"/>
    <w:rsid w:val="003431F8"/>
    <w:rsid w:val="00343743"/>
    <w:rsid w:val="00346DC1"/>
    <w:rsid w:val="003509E9"/>
    <w:rsid w:val="003535B8"/>
    <w:rsid w:val="003551D7"/>
    <w:rsid w:val="00355438"/>
    <w:rsid w:val="00360B16"/>
    <w:rsid w:val="00361390"/>
    <w:rsid w:val="00362A39"/>
    <w:rsid w:val="00372531"/>
    <w:rsid w:val="003822FA"/>
    <w:rsid w:val="003948EF"/>
    <w:rsid w:val="003A1C69"/>
    <w:rsid w:val="003A4E27"/>
    <w:rsid w:val="003B0D06"/>
    <w:rsid w:val="003B4F5A"/>
    <w:rsid w:val="003C187E"/>
    <w:rsid w:val="003C4A01"/>
    <w:rsid w:val="003C4AF9"/>
    <w:rsid w:val="003D17E7"/>
    <w:rsid w:val="003D182F"/>
    <w:rsid w:val="003D18F8"/>
    <w:rsid w:val="003D3862"/>
    <w:rsid w:val="003D7727"/>
    <w:rsid w:val="003E250D"/>
    <w:rsid w:val="003E7193"/>
    <w:rsid w:val="003F660B"/>
    <w:rsid w:val="00403F8C"/>
    <w:rsid w:val="00405D1A"/>
    <w:rsid w:val="00406882"/>
    <w:rsid w:val="00406ABF"/>
    <w:rsid w:val="00406F49"/>
    <w:rsid w:val="00412F66"/>
    <w:rsid w:val="00423EF0"/>
    <w:rsid w:val="00426797"/>
    <w:rsid w:val="0042686B"/>
    <w:rsid w:val="00431B2C"/>
    <w:rsid w:val="0043649F"/>
    <w:rsid w:val="004368BE"/>
    <w:rsid w:val="00437BAD"/>
    <w:rsid w:val="004529AB"/>
    <w:rsid w:val="00453FC7"/>
    <w:rsid w:val="004555D3"/>
    <w:rsid w:val="0045636A"/>
    <w:rsid w:val="00461C80"/>
    <w:rsid w:val="004647FE"/>
    <w:rsid w:val="00470224"/>
    <w:rsid w:val="004723EE"/>
    <w:rsid w:val="00472612"/>
    <w:rsid w:val="004748BC"/>
    <w:rsid w:val="00481CF4"/>
    <w:rsid w:val="00486808"/>
    <w:rsid w:val="004901A3"/>
    <w:rsid w:val="00493004"/>
    <w:rsid w:val="004946E3"/>
    <w:rsid w:val="004954AC"/>
    <w:rsid w:val="004A3DA9"/>
    <w:rsid w:val="004B2505"/>
    <w:rsid w:val="004B5FF1"/>
    <w:rsid w:val="004C38B7"/>
    <w:rsid w:val="004D126D"/>
    <w:rsid w:val="004D1DF0"/>
    <w:rsid w:val="004D2DF4"/>
    <w:rsid w:val="004D4B50"/>
    <w:rsid w:val="004E6E59"/>
    <w:rsid w:val="00504094"/>
    <w:rsid w:val="005065AB"/>
    <w:rsid w:val="005073DD"/>
    <w:rsid w:val="005115BD"/>
    <w:rsid w:val="00515B95"/>
    <w:rsid w:val="005171D3"/>
    <w:rsid w:val="005178A9"/>
    <w:rsid w:val="005261F7"/>
    <w:rsid w:val="005276B7"/>
    <w:rsid w:val="00534F18"/>
    <w:rsid w:val="00536ABA"/>
    <w:rsid w:val="0053733D"/>
    <w:rsid w:val="00543076"/>
    <w:rsid w:val="00547FB3"/>
    <w:rsid w:val="00555A54"/>
    <w:rsid w:val="00556D5F"/>
    <w:rsid w:val="00560BBD"/>
    <w:rsid w:val="00562D64"/>
    <w:rsid w:val="00564370"/>
    <w:rsid w:val="00565BB6"/>
    <w:rsid w:val="00573AE2"/>
    <w:rsid w:val="00575BBD"/>
    <w:rsid w:val="00580186"/>
    <w:rsid w:val="00590643"/>
    <w:rsid w:val="005975CB"/>
    <w:rsid w:val="005A1F62"/>
    <w:rsid w:val="005A765C"/>
    <w:rsid w:val="005B0591"/>
    <w:rsid w:val="005B0CC1"/>
    <w:rsid w:val="005B2933"/>
    <w:rsid w:val="005B7C89"/>
    <w:rsid w:val="005D0B79"/>
    <w:rsid w:val="005D1104"/>
    <w:rsid w:val="005D1E13"/>
    <w:rsid w:val="005D2BB9"/>
    <w:rsid w:val="005D2D6F"/>
    <w:rsid w:val="005D4613"/>
    <w:rsid w:val="005D6530"/>
    <w:rsid w:val="005D6EAF"/>
    <w:rsid w:val="005E0C8D"/>
    <w:rsid w:val="005E2FE4"/>
    <w:rsid w:val="005F0D96"/>
    <w:rsid w:val="005F14CE"/>
    <w:rsid w:val="005F1A73"/>
    <w:rsid w:val="005F4893"/>
    <w:rsid w:val="00601A3F"/>
    <w:rsid w:val="00606F7D"/>
    <w:rsid w:val="0060718D"/>
    <w:rsid w:val="0060736C"/>
    <w:rsid w:val="00613A18"/>
    <w:rsid w:val="006148A2"/>
    <w:rsid w:val="006161F3"/>
    <w:rsid w:val="00616F29"/>
    <w:rsid w:val="00620916"/>
    <w:rsid w:val="006215D1"/>
    <w:rsid w:val="00626EAC"/>
    <w:rsid w:val="00635EC7"/>
    <w:rsid w:val="00636DAD"/>
    <w:rsid w:val="00637612"/>
    <w:rsid w:val="006379F2"/>
    <w:rsid w:val="00640C46"/>
    <w:rsid w:val="0064604C"/>
    <w:rsid w:val="006509DD"/>
    <w:rsid w:val="00661D23"/>
    <w:rsid w:val="00664C82"/>
    <w:rsid w:val="00666543"/>
    <w:rsid w:val="00673FD0"/>
    <w:rsid w:val="006744EF"/>
    <w:rsid w:val="00675FC2"/>
    <w:rsid w:val="00676CED"/>
    <w:rsid w:val="00677F94"/>
    <w:rsid w:val="0068173D"/>
    <w:rsid w:val="00683491"/>
    <w:rsid w:val="0068679B"/>
    <w:rsid w:val="006879F0"/>
    <w:rsid w:val="00687DEA"/>
    <w:rsid w:val="006923DF"/>
    <w:rsid w:val="006A6D0E"/>
    <w:rsid w:val="006B3143"/>
    <w:rsid w:val="006C0478"/>
    <w:rsid w:val="006C4A95"/>
    <w:rsid w:val="006C75DA"/>
    <w:rsid w:val="006D0F95"/>
    <w:rsid w:val="006D4E07"/>
    <w:rsid w:val="006D77AD"/>
    <w:rsid w:val="006E08DE"/>
    <w:rsid w:val="006E0D7F"/>
    <w:rsid w:val="006E0DC2"/>
    <w:rsid w:val="006E5B98"/>
    <w:rsid w:val="006F5E08"/>
    <w:rsid w:val="006F6196"/>
    <w:rsid w:val="00700E8C"/>
    <w:rsid w:val="007033DD"/>
    <w:rsid w:val="00704687"/>
    <w:rsid w:val="00704D77"/>
    <w:rsid w:val="0070757E"/>
    <w:rsid w:val="00722525"/>
    <w:rsid w:val="00725293"/>
    <w:rsid w:val="007317EA"/>
    <w:rsid w:val="007411D0"/>
    <w:rsid w:val="00743DD8"/>
    <w:rsid w:val="00744E19"/>
    <w:rsid w:val="00746EF7"/>
    <w:rsid w:val="00750B67"/>
    <w:rsid w:val="00757001"/>
    <w:rsid w:val="00760F7D"/>
    <w:rsid w:val="00770BDD"/>
    <w:rsid w:val="00772830"/>
    <w:rsid w:val="00790826"/>
    <w:rsid w:val="00795090"/>
    <w:rsid w:val="00796775"/>
    <w:rsid w:val="007A00B4"/>
    <w:rsid w:val="007A2E2E"/>
    <w:rsid w:val="007B276D"/>
    <w:rsid w:val="007B3D86"/>
    <w:rsid w:val="007C0258"/>
    <w:rsid w:val="007C28EA"/>
    <w:rsid w:val="007C3588"/>
    <w:rsid w:val="007D6597"/>
    <w:rsid w:val="007F089E"/>
    <w:rsid w:val="00801CED"/>
    <w:rsid w:val="008022BD"/>
    <w:rsid w:val="008068D1"/>
    <w:rsid w:val="0080740E"/>
    <w:rsid w:val="008159B1"/>
    <w:rsid w:val="00817A03"/>
    <w:rsid w:val="00820C25"/>
    <w:rsid w:val="008252E9"/>
    <w:rsid w:val="008274EC"/>
    <w:rsid w:val="0084016F"/>
    <w:rsid w:val="008411CF"/>
    <w:rsid w:val="008419D4"/>
    <w:rsid w:val="008465AB"/>
    <w:rsid w:val="00846D0E"/>
    <w:rsid w:val="0085062B"/>
    <w:rsid w:val="00851DCD"/>
    <w:rsid w:val="008525FB"/>
    <w:rsid w:val="00860FD9"/>
    <w:rsid w:val="00861856"/>
    <w:rsid w:val="00862FD0"/>
    <w:rsid w:val="00864D2B"/>
    <w:rsid w:val="00871157"/>
    <w:rsid w:val="00880041"/>
    <w:rsid w:val="00881874"/>
    <w:rsid w:val="00885806"/>
    <w:rsid w:val="0088589D"/>
    <w:rsid w:val="008861DA"/>
    <w:rsid w:val="00894F58"/>
    <w:rsid w:val="00897BBC"/>
    <w:rsid w:val="008A608E"/>
    <w:rsid w:val="008A76A2"/>
    <w:rsid w:val="008B41F7"/>
    <w:rsid w:val="008B7372"/>
    <w:rsid w:val="008C2139"/>
    <w:rsid w:val="008C6B53"/>
    <w:rsid w:val="008D238B"/>
    <w:rsid w:val="008E219D"/>
    <w:rsid w:val="008E68B3"/>
    <w:rsid w:val="008E776E"/>
    <w:rsid w:val="008F1B5B"/>
    <w:rsid w:val="008F5E3F"/>
    <w:rsid w:val="00900E2B"/>
    <w:rsid w:val="0091709A"/>
    <w:rsid w:val="009176D4"/>
    <w:rsid w:val="00924791"/>
    <w:rsid w:val="00924F1F"/>
    <w:rsid w:val="009257FA"/>
    <w:rsid w:val="009320BF"/>
    <w:rsid w:val="009344C0"/>
    <w:rsid w:val="00941242"/>
    <w:rsid w:val="00941515"/>
    <w:rsid w:val="00946A74"/>
    <w:rsid w:val="009505AA"/>
    <w:rsid w:val="00956EA3"/>
    <w:rsid w:val="00967957"/>
    <w:rsid w:val="00976FFA"/>
    <w:rsid w:val="00980264"/>
    <w:rsid w:val="00980B22"/>
    <w:rsid w:val="00981801"/>
    <w:rsid w:val="00981F6D"/>
    <w:rsid w:val="00984515"/>
    <w:rsid w:val="009858B5"/>
    <w:rsid w:val="00992F5E"/>
    <w:rsid w:val="009932DE"/>
    <w:rsid w:val="00994615"/>
    <w:rsid w:val="009B1CBC"/>
    <w:rsid w:val="009B6BDA"/>
    <w:rsid w:val="009D547A"/>
    <w:rsid w:val="009E19AA"/>
    <w:rsid w:val="009E6719"/>
    <w:rsid w:val="009E72FF"/>
    <w:rsid w:val="009E7C74"/>
    <w:rsid w:val="009F5194"/>
    <w:rsid w:val="00A026AF"/>
    <w:rsid w:val="00A0579C"/>
    <w:rsid w:val="00A17C3C"/>
    <w:rsid w:val="00A32CE2"/>
    <w:rsid w:val="00A3602C"/>
    <w:rsid w:val="00A360F3"/>
    <w:rsid w:val="00A368CB"/>
    <w:rsid w:val="00A36CA6"/>
    <w:rsid w:val="00A44137"/>
    <w:rsid w:val="00A46842"/>
    <w:rsid w:val="00A51BFB"/>
    <w:rsid w:val="00A539E7"/>
    <w:rsid w:val="00A54797"/>
    <w:rsid w:val="00A5780E"/>
    <w:rsid w:val="00A65C64"/>
    <w:rsid w:val="00A6715D"/>
    <w:rsid w:val="00A7055B"/>
    <w:rsid w:val="00A72BE7"/>
    <w:rsid w:val="00A756F6"/>
    <w:rsid w:val="00A81FC2"/>
    <w:rsid w:val="00A84974"/>
    <w:rsid w:val="00A85B50"/>
    <w:rsid w:val="00A870D7"/>
    <w:rsid w:val="00A87D45"/>
    <w:rsid w:val="00AA15D4"/>
    <w:rsid w:val="00AB45E4"/>
    <w:rsid w:val="00AC1E8B"/>
    <w:rsid w:val="00AC2714"/>
    <w:rsid w:val="00AD1AEF"/>
    <w:rsid w:val="00AD4495"/>
    <w:rsid w:val="00AE49BE"/>
    <w:rsid w:val="00B007A3"/>
    <w:rsid w:val="00B01509"/>
    <w:rsid w:val="00B068B4"/>
    <w:rsid w:val="00B07AD6"/>
    <w:rsid w:val="00B1010A"/>
    <w:rsid w:val="00B12C1B"/>
    <w:rsid w:val="00B13B98"/>
    <w:rsid w:val="00B15CDA"/>
    <w:rsid w:val="00B359C1"/>
    <w:rsid w:val="00B35C82"/>
    <w:rsid w:val="00B43213"/>
    <w:rsid w:val="00B447CE"/>
    <w:rsid w:val="00B53746"/>
    <w:rsid w:val="00B55E9F"/>
    <w:rsid w:val="00B62BE5"/>
    <w:rsid w:val="00B62D1F"/>
    <w:rsid w:val="00B6480D"/>
    <w:rsid w:val="00B66C35"/>
    <w:rsid w:val="00B74942"/>
    <w:rsid w:val="00B7647F"/>
    <w:rsid w:val="00B77306"/>
    <w:rsid w:val="00B879F9"/>
    <w:rsid w:val="00B94C8A"/>
    <w:rsid w:val="00B9540E"/>
    <w:rsid w:val="00BA1802"/>
    <w:rsid w:val="00BA26D0"/>
    <w:rsid w:val="00BA3541"/>
    <w:rsid w:val="00BA5458"/>
    <w:rsid w:val="00BB06A5"/>
    <w:rsid w:val="00BC5CB7"/>
    <w:rsid w:val="00BC7315"/>
    <w:rsid w:val="00BC78C3"/>
    <w:rsid w:val="00BD0052"/>
    <w:rsid w:val="00BD1197"/>
    <w:rsid w:val="00BD68EA"/>
    <w:rsid w:val="00BE1D12"/>
    <w:rsid w:val="00BF069E"/>
    <w:rsid w:val="00BF3A83"/>
    <w:rsid w:val="00C02788"/>
    <w:rsid w:val="00C028AD"/>
    <w:rsid w:val="00C0466A"/>
    <w:rsid w:val="00C06705"/>
    <w:rsid w:val="00C071C1"/>
    <w:rsid w:val="00C16BCA"/>
    <w:rsid w:val="00C25817"/>
    <w:rsid w:val="00C27EBF"/>
    <w:rsid w:val="00C302DF"/>
    <w:rsid w:val="00C30BD1"/>
    <w:rsid w:val="00C3341F"/>
    <w:rsid w:val="00C37552"/>
    <w:rsid w:val="00C4040D"/>
    <w:rsid w:val="00C43F0B"/>
    <w:rsid w:val="00C46055"/>
    <w:rsid w:val="00C52124"/>
    <w:rsid w:val="00C53EF2"/>
    <w:rsid w:val="00C56109"/>
    <w:rsid w:val="00C61634"/>
    <w:rsid w:val="00C61D16"/>
    <w:rsid w:val="00C66D4D"/>
    <w:rsid w:val="00C67C5E"/>
    <w:rsid w:val="00C763AB"/>
    <w:rsid w:val="00C76823"/>
    <w:rsid w:val="00C81CDB"/>
    <w:rsid w:val="00C82E6B"/>
    <w:rsid w:val="00C83712"/>
    <w:rsid w:val="00C83DAB"/>
    <w:rsid w:val="00C85F06"/>
    <w:rsid w:val="00CA0FE3"/>
    <w:rsid w:val="00CA220F"/>
    <w:rsid w:val="00CA2D0D"/>
    <w:rsid w:val="00CB3469"/>
    <w:rsid w:val="00CB7E45"/>
    <w:rsid w:val="00CC29B9"/>
    <w:rsid w:val="00CC3B31"/>
    <w:rsid w:val="00CC590B"/>
    <w:rsid w:val="00CD1040"/>
    <w:rsid w:val="00CD327E"/>
    <w:rsid w:val="00CD3FDB"/>
    <w:rsid w:val="00CE18C4"/>
    <w:rsid w:val="00CE3990"/>
    <w:rsid w:val="00CE531C"/>
    <w:rsid w:val="00CF3D40"/>
    <w:rsid w:val="00CF45E1"/>
    <w:rsid w:val="00D002E7"/>
    <w:rsid w:val="00D11A19"/>
    <w:rsid w:val="00D1200B"/>
    <w:rsid w:val="00D144A0"/>
    <w:rsid w:val="00D31076"/>
    <w:rsid w:val="00D33BCF"/>
    <w:rsid w:val="00D40BC8"/>
    <w:rsid w:val="00D40E54"/>
    <w:rsid w:val="00D438D5"/>
    <w:rsid w:val="00D46BAD"/>
    <w:rsid w:val="00D501DF"/>
    <w:rsid w:val="00D52A2D"/>
    <w:rsid w:val="00D608E6"/>
    <w:rsid w:val="00D716C5"/>
    <w:rsid w:val="00D73446"/>
    <w:rsid w:val="00D77798"/>
    <w:rsid w:val="00D81C66"/>
    <w:rsid w:val="00D827A7"/>
    <w:rsid w:val="00D85E02"/>
    <w:rsid w:val="00D872A8"/>
    <w:rsid w:val="00D9189E"/>
    <w:rsid w:val="00DA2A28"/>
    <w:rsid w:val="00DA3E1B"/>
    <w:rsid w:val="00DB02B3"/>
    <w:rsid w:val="00DB6331"/>
    <w:rsid w:val="00DC1C10"/>
    <w:rsid w:val="00DD057B"/>
    <w:rsid w:val="00DD47BF"/>
    <w:rsid w:val="00DE1782"/>
    <w:rsid w:val="00DE2BBE"/>
    <w:rsid w:val="00DE31D6"/>
    <w:rsid w:val="00DE3D46"/>
    <w:rsid w:val="00DE5198"/>
    <w:rsid w:val="00DE59EC"/>
    <w:rsid w:val="00DE5F45"/>
    <w:rsid w:val="00DF072F"/>
    <w:rsid w:val="00DF16E6"/>
    <w:rsid w:val="00E02325"/>
    <w:rsid w:val="00E04585"/>
    <w:rsid w:val="00E12E36"/>
    <w:rsid w:val="00E229BB"/>
    <w:rsid w:val="00E23D65"/>
    <w:rsid w:val="00E24E26"/>
    <w:rsid w:val="00E2630F"/>
    <w:rsid w:val="00E26586"/>
    <w:rsid w:val="00E2673E"/>
    <w:rsid w:val="00E3385A"/>
    <w:rsid w:val="00E448C5"/>
    <w:rsid w:val="00E4498B"/>
    <w:rsid w:val="00E44FEF"/>
    <w:rsid w:val="00E46F92"/>
    <w:rsid w:val="00E5484A"/>
    <w:rsid w:val="00E624CA"/>
    <w:rsid w:val="00E626EB"/>
    <w:rsid w:val="00E65ECB"/>
    <w:rsid w:val="00E70F36"/>
    <w:rsid w:val="00E80D9A"/>
    <w:rsid w:val="00E95567"/>
    <w:rsid w:val="00E97235"/>
    <w:rsid w:val="00EA4F49"/>
    <w:rsid w:val="00EA5F8B"/>
    <w:rsid w:val="00EB1862"/>
    <w:rsid w:val="00EB5B62"/>
    <w:rsid w:val="00EB77D9"/>
    <w:rsid w:val="00EC0087"/>
    <w:rsid w:val="00EC3C5F"/>
    <w:rsid w:val="00EC44A4"/>
    <w:rsid w:val="00ED3E0C"/>
    <w:rsid w:val="00ED4C3A"/>
    <w:rsid w:val="00ED5148"/>
    <w:rsid w:val="00EE3EBF"/>
    <w:rsid w:val="00EE601E"/>
    <w:rsid w:val="00EF07F7"/>
    <w:rsid w:val="00EF2C2F"/>
    <w:rsid w:val="00EF2E0B"/>
    <w:rsid w:val="00EF2E1D"/>
    <w:rsid w:val="00EF57EE"/>
    <w:rsid w:val="00F033DE"/>
    <w:rsid w:val="00F0586E"/>
    <w:rsid w:val="00F07981"/>
    <w:rsid w:val="00F174B7"/>
    <w:rsid w:val="00F227A7"/>
    <w:rsid w:val="00F254FE"/>
    <w:rsid w:val="00F32C9B"/>
    <w:rsid w:val="00F372DE"/>
    <w:rsid w:val="00F42E99"/>
    <w:rsid w:val="00F45638"/>
    <w:rsid w:val="00F46AC7"/>
    <w:rsid w:val="00F47E21"/>
    <w:rsid w:val="00F531E8"/>
    <w:rsid w:val="00F56E8D"/>
    <w:rsid w:val="00F62431"/>
    <w:rsid w:val="00F62CFD"/>
    <w:rsid w:val="00F656AA"/>
    <w:rsid w:val="00F70F18"/>
    <w:rsid w:val="00F74146"/>
    <w:rsid w:val="00F86BC5"/>
    <w:rsid w:val="00F9103A"/>
    <w:rsid w:val="00FA15E2"/>
    <w:rsid w:val="00FA1666"/>
    <w:rsid w:val="00FA1814"/>
    <w:rsid w:val="00FA216B"/>
    <w:rsid w:val="00FB2CBA"/>
    <w:rsid w:val="00FB4BC2"/>
    <w:rsid w:val="00FB6FBF"/>
    <w:rsid w:val="00FB784B"/>
    <w:rsid w:val="00FC0237"/>
    <w:rsid w:val="00FC55A3"/>
    <w:rsid w:val="00FC7C25"/>
    <w:rsid w:val="00FD28F9"/>
    <w:rsid w:val="00FE1E6B"/>
    <w:rsid w:val="00FE2B29"/>
    <w:rsid w:val="00FE314A"/>
    <w:rsid w:val="00FF0071"/>
    <w:rsid w:val="00FF49D0"/>
    <w:rsid w:val="00FF5254"/>
    <w:rsid w:val="0BB93C17"/>
    <w:rsid w:val="0FAC3DAE"/>
    <w:rsid w:val="1A477A5F"/>
    <w:rsid w:val="21C07F0A"/>
    <w:rsid w:val="24B29165"/>
    <w:rsid w:val="2764156A"/>
    <w:rsid w:val="32FE53B5"/>
    <w:rsid w:val="3715AF74"/>
    <w:rsid w:val="3F9F41E2"/>
    <w:rsid w:val="475019EC"/>
    <w:rsid w:val="4AE1E883"/>
    <w:rsid w:val="50F240C4"/>
    <w:rsid w:val="59427C17"/>
    <w:rsid w:val="6FF5DC01"/>
    <w:rsid w:val="7C94921E"/>
    <w:rsid w:val="7D3E341E"/>
    <w:rsid w:val="7E2A0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5C2D"/>
  <w15:chartTrackingRefBased/>
  <w15:docId w15:val="{C31635EC-4617-4436-AF30-772666FE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FE4"/>
  </w:style>
  <w:style w:type="paragraph" w:styleId="Heading1">
    <w:name w:val="heading 1"/>
    <w:basedOn w:val="Normal"/>
    <w:next w:val="Normal"/>
    <w:link w:val="Heading1Char"/>
    <w:uiPriority w:val="9"/>
    <w:qFormat/>
    <w:rsid w:val="005E2FE4"/>
    <w:pPr>
      <w:keepNext/>
      <w:keepLines/>
      <w:pBdr>
        <w:bottom w:val="single" w:sz="4" w:space="1" w:color="D34817" w:themeColor="accent1"/>
      </w:pBdr>
      <w:spacing w:before="400" w:after="40" w:line="240" w:lineRule="auto"/>
      <w:outlineLvl w:val="0"/>
    </w:pPr>
    <w:rPr>
      <w:rFonts w:asciiTheme="majorHAnsi" w:eastAsiaTheme="majorEastAsia" w:hAnsiTheme="majorHAnsi" w:cstheme="majorBidi"/>
      <w:color w:val="9D3511" w:themeColor="accent1" w:themeShade="BF"/>
      <w:sz w:val="36"/>
      <w:szCs w:val="36"/>
    </w:rPr>
  </w:style>
  <w:style w:type="paragraph" w:styleId="Heading2">
    <w:name w:val="heading 2"/>
    <w:basedOn w:val="Normal"/>
    <w:next w:val="Normal"/>
    <w:link w:val="Heading2Char"/>
    <w:uiPriority w:val="9"/>
    <w:semiHidden/>
    <w:unhideWhenUsed/>
    <w:qFormat/>
    <w:rsid w:val="005E2FE4"/>
    <w:pPr>
      <w:keepNext/>
      <w:keepLines/>
      <w:spacing w:before="160" w:after="0" w:line="240" w:lineRule="auto"/>
      <w:outlineLvl w:val="1"/>
    </w:pPr>
    <w:rPr>
      <w:rFonts w:asciiTheme="majorHAnsi" w:eastAsiaTheme="majorEastAsia" w:hAnsiTheme="majorHAnsi" w:cstheme="majorBidi"/>
      <w:color w:val="9D3511" w:themeColor="accent1" w:themeShade="BF"/>
      <w:sz w:val="28"/>
      <w:szCs w:val="28"/>
    </w:rPr>
  </w:style>
  <w:style w:type="paragraph" w:styleId="Heading3">
    <w:name w:val="heading 3"/>
    <w:basedOn w:val="Normal"/>
    <w:next w:val="Normal"/>
    <w:link w:val="Heading3Char"/>
    <w:uiPriority w:val="9"/>
    <w:semiHidden/>
    <w:unhideWhenUsed/>
    <w:qFormat/>
    <w:rsid w:val="005E2FE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E2FE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E2FE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E2FE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E2FE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2FE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2FE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FE4"/>
    <w:rPr>
      <w:rFonts w:asciiTheme="majorHAnsi" w:eastAsiaTheme="majorEastAsia" w:hAnsiTheme="majorHAnsi" w:cstheme="majorBidi"/>
      <w:color w:val="9D3511" w:themeColor="accent1" w:themeShade="BF"/>
      <w:sz w:val="36"/>
      <w:szCs w:val="36"/>
    </w:rPr>
  </w:style>
  <w:style w:type="character" w:customStyle="1" w:styleId="Heading2Char">
    <w:name w:val="Heading 2 Char"/>
    <w:basedOn w:val="DefaultParagraphFont"/>
    <w:link w:val="Heading2"/>
    <w:uiPriority w:val="9"/>
    <w:semiHidden/>
    <w:rsid w:val="005E2FE4"/>
    <w:rPr>
      <w:rFonts w:asciiTheme="majorHAnsi" w:eastAsiaTheme="majorEastAsia" w:hAnsiTheme="majorHAnsi" w:cstheme="majorBidi"/>
      <w:color w:val="9D3511" w:themeColor="accent1" w:themeShade="BF"/>
      <w:sz w:val="28"/>
      <w:szCs w:val="28"/>
    </w:rPr>
  </w:style>
  <w:style w:type="character" w:customStyle="1" w:styleId="Heading3Char">
    <w:name w:val="Heading 3 Char"/>
    <w:basedOn w:val="DefaultParagraphFont"/>
    <w:link w:val="Heading3"/>
    <w:uiPriority w:val="9"/>
    <w:semiHidden/>
    <w:rsid w:val="005E2FE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E2FE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E2FE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E2FE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2FE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2FE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2FE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E2FE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5E2FE4"/>
    <w:pPr>
      <w:spacing w:after="0" w:line="240" w:lineRule="auto"/>
      <w:contextualSpacing/>
    </w:pPr>
    <w:rPr>
      <w:rFonts w:asciiTheme="majorHAnsi" w:eastAsiaTheme="majorEastAsia" w:hAnsiTheme="majorHAnsi" w:cstheme="majorBidi"/>
      <w:color w:val="9D3511" w:themeColor="accent1" w:themeShade="BF"/>
      <w:spacing w:val="-7"/>
      <w:sz w:val="80"/>
      <w:szCs w:val="80"/>
    </w:rPr>
  </w:style>
  <w:style w:type="character" w:customStyle="1" w:styleId="TitleChar">
    <w:name w:val="Title Char"/>
    <w:basedOn w:val="DefaultParagraphFont"/>
    <w:link w:val="Title"/>
    <w:uiPriority w:val="10"/>
    <w:rsid w:val="005E2FE4"/>
    <w:rPr>
      <w:rFonts w:asciiTheme="majorHAnsi" w:eastAsiaTheme="majorEastAsia" w:hAnsiTheme="majorHAnsi" w:cstheme="majorBidi"/>
      <w:color w:val="9D3511" w:themeColor="accent1" w:themeShade="BF"/>
      <w:spacing w:val="-7"/>
      <w:sz w:val="80"/>
      <w:szCs w:val="80"/>
    </w:rPr>
  </w:style>
  <w:style w:type="paragraph" w:styleId="Subtitle">
    <w:name w:val="Subtitle"/>
    <w:basedOn w:val="Normal"/>
    <w:next w:val="Normal"/>
    <w:link w:val="SubtitleChar"/>
    <w:uiPriority w:val="11"/>
    <w:qFormat/>
    <w:rsid w:val="005E2FE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E2FE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E2FE4"/>
    <w:rPr>
      <w:b/>
      <w:bCs/>
    </w:rPr>
  </w:style>
  <w:style w:type="character" w:styleId="Emphasis">
    <w:name w:val="Emphasis"/>
    <w:basedOn w:val="DefaultParagraphFont"/>
    <w:uiPriority w:val="20"/>
    <w:qFormat/>
    <w:rsid w:val="005E2FE4"/>
    <w:rPr>
      <w:i/>
      <w:iCs/>
    </w:rPr>
  </w:style>
  <w:style w:type="paragraph" w:styleId="NoSpacing">
    <w:name w:val="No Spacing"/>
    <w:link w:val="NoSpacingChar"/>
    <w:uiPriority w:val="1"/>
    <w:qFormat/>
    <w:rsid w:val="005E2FE4"/>
    <w:pPr>
      <w:spacing w:after="0" w:line="240" w:lineRule="auto"/>
    </w:pPr>
  </w:style>
  <w:style w:type="paragraph" w:styleId="Quote">
    <w:name w:val="Quote"/>
    <w:basedOn w:val="Normal"/>
    <w:next w:val="Normal"/>
    <w:link w:val="QuoteChar"/>
    <w:uiPriority w:val="29"/>
    <w:qFormat/>
    <w:rsid w:val="005E2FE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2FE4"/>
    <w:rPr>
      <w:i/>
      <w:iCs/>
    </w:rPr>
  </w:style>
  <w:style w:type="paragraph" w:styleId="IntenseQuote">
    <w:name w:val="Intense Quote"/>
    <w:basedOn w:val="Normal"/>
    <w:next w:val="Normal"/>
    <w:link w:val="IntenseQuoteChar"/>
    <w:uiPriority w:val="30"/>
    <w:qFormat/>
    <w:rsid w:val="005E2FE4"/>
    <w:pPr>
      <w:spacing w:before="100" w:beforeAutospacing="1" w:after="240"/>
      <w:ind w:left="864" w:right="864"/>
      <w:jc w:val="center"/>
    </w:pPr>
    <w:rPr>
      <w:rFonts w:asciiTheme="majorHAnsi" w:eastAsiaTheme="majorEastAsia" w:hAnsiTheme="majorHAnsi" w:cstheme="majorBidi"/>
      <w:color w:val="D34817" w:themeColor="accent1"/>
      <w:sz w:val="28"/>
      <w:szCs w:val="28"/>
    </w:rPr>
  </w:style>
  <w:style w:type="character" w:customStyle="1" w:styleId="IntenseQuoteChar">
    <w:name w:val="Intense Quote Char"/>
    <w:basedOn w:val="DefaultParagraphFont"/>
    <w:link w:val="IntenseQuote"/>
    <w:uiPriority w:val="30"/>
    <w:rsid w:val="005E2FE4"/>
    <w:rPr>
      <w:rFonts w:asciiTheme="majorHAnsi" w:eastAsiaTheme="majorEastAsia" w:hAnsiTheme="majorHAnsi" w:cstheme="majorBidi"/>
      <w:color w:val="D34817" w:themeColor="accent1"/>
      <w:sz w:val="28"/>
      <w:szCs w:val="28"/>
    </w:rPr>
  </w:style>
  <w:style w:type="character" w:styleId="SubtleEmphasis">
    <w:name w:val="Subtle Emphasis"/>
    <w:basedOn w:val="DefaultParagraphFont"/>
    <w:uiPriority w:val="19"/>
    <w:qFormat/>
    <w:rsid w:val="005E2FE4"/>
    <w:rPr>
      <w:i/>
      <w:iCs/>
      <w:color w:val="595959" w:themeColor="text1" w:themeTint="A6"/>
    </w:rPr>
  </w:style>
  <w:style w:type="character" w:styleId="IntenseEmphasis">
    <w:name w:val="Intense Emphasis"/>
    <w:basedOn w:val="DefaultParagraphFont"/>
    <w:uiPriority w:val="21"/>
    <w:qFormat/>
    <w:rsid w:val="005E2FE4"/>
    <w:rPr>
      <w:b/>
      <w:bCs/>
      <w:i/>
      <w:iCs/>
    </w:rPr>
  </w:style>
  <w:style w:type="character" w:styleId="SubtleReference">
    <w:name w:val="Subtle Reference"/>
    <w:basedOn w:val="DefaultParagraphFont"/>
    <w:uiPriority w:val="31"/>
    <w:qFormat/>
    <w:rsid w:val="005E2FE4"/>
    <w:rPr>
      <w:smallCaps/>
      <w:color w:val="404040" w:themeColor="text1" w:themeTint="BF"/>
    </w:rPr>
  </w:style>
  <w:style w:type="character" w:styleId="IntenseReference">
    <w:name w:val="Intense Reference"/>
    <w:basedOn w:val="DefaultParagraphFont"/>
    <w:uiPriority w:val="32"/>
    <w:qFormat/>
    <w:rsid w:val="005E2FE4"/>
    <w:rPr>
      <w:b/>
      <w:bCs/>
      <w:smallCaps/>
      <w:u w:val="single"/>
    </w:rPr>
  </w:style>
  <w:style w:type="character" w:styleId="BookTitle">
    <w:name w:val="Book Title"/>
    <w:basedOn w:val="DefaultParagraphFont"/>
    <w:uiPriority w:val="33"/>
    <w:qFormat/>
    <w:rsid w:val="005E2FE4"/>
    <w:rPr>
      <w:b/>
      <w:bCs/>
      <w:smallCaps/>
    </w:rPr>
  </w:style>
  <w:style w:type="paragraph" w:styleId="TOCHeading">
    <w:name w:val="TOC Heading"/>
    <w:basedOn w:val="Heading1"/>
    <w:next w:val="Normal"/>
    <w:uiPriority w:val="39"/>
    <w:unhideWhenUsed/>
    <w:qFormat/>
    <w:rsid w:val="005E2FE4"/>
    <w:pPr>
      <w:outlineLvl w:val="9"/>
    </w:pPr>
  </w:style>
  <w:style w:type="paragraph" w:styleId="ListParagraph">
    <w:name w:val="List Paragraph"/>
    <w:basedOn w:val="Normal"/>
    <w:uiPriority w:val="34"/>
    <w:qFormat/>
    <w:rsid w:val="00C83712"/>
    <w:pPr>
      <w:spacing w:after="160" w:line="259" w:lineRule="auto"/>
      <w:ind w:left="720"/>
      <w:contextualSpacing/>
    </w:pPr>
    <w:rPr>
      <w:sz w:val="22"/>
      <w:szCs w:val="22"/>
    </w:rPr>
  </w:style>
  <w:style w:type="table" w:styleId="TableGrid">
    <w:name w:val="Table Grid"/>
    <w:basedOn w:val="TableNormal"/>
    <w:uiPriority w:val="39"/>
    <w:rsid w:val="00071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0BF"/>
  </w:style>
  <w:style w:type="paragraph" w:styleId="Footer">
    <w:name w:val="footer"/>
    <w:basedOn w:val="Normal"/>
    <w:link w:val="FooterChar"/>
    <w:uiPriority w:val="99"/>
    <w:unhideWhenUsed/>
    <w:rsid w:val="00932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0BF"/>
  </w:style>
  <w:style w:type="character" w:styleId="CommentReference">
    <w:name w:val="annotation reference"/>
    <w:basedOn w:val="DefaultParagraphFont"/>
    <w:uiPriority w:val="99"/>
    <w:semiHidden/>
    <w:unhideWhenUsed/>
    <w:rsid w:val="001766E2"/>
    <w:rPr>
      <w:sz w:val="16"/>
      <w:szCs w:val="16"/>
    </w:rPr>
  </w:style>
  <w:style w:type="paragraph" w:styleId="FootnoteText">
    <w:name w:val="footnote text"/>
    <w:basedOn w:val="Normal"/>
    <w:link w:val="FootnoteTextChar"/>
    <w:uiPriority w:val="99"/>
    <w:semiHidden/>
    <w:unhideWhenUsed/>
    <w:rsid w:val="001766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66E2"/>
    <w:rPr>
      <w:sz w:val="20"/>
      <w:szCs w:val="20"/>
    </w:rPr>
  </w:style>
  <w:style w:type="character" w:styleId="FootnoteReference">
    <w:name w:val="footnote reference"/>
    <w:basedOn w:val="DefaultParagraphFont"/>
    <w:uiPriority w:val="99"/>
    <w:semiHidden/>
    <w:unhideWhenUsed/>
    <w:rsid w:val="001766E2"/>
    <w:rPr>
      <w:vertAlign w:val="superscript"/>
    </w:rPr>
  </w:style>
  <w:style w:type="table" w:customStyle="1" w:styleId="PlainTable41">
    <w:name w:val="Plain Table 41"/>
    <w:basedOn w:val="TableNormal"/>
    <w:next w:val="PlainTable4"/>
    <w:uiPriority w:val="44"/>
    <w:rsid w:val="001766E2"/>
    <w:pPr>
      <w:spacing w:after="0" w:line="240" w:lineRule="auto"/>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1766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81EED"/>
    <w:rPr>
      <w:color w:val="CC9900" w:themeColor="hyperlink"/>
      <w:u w:val="single"/>
    </w:rPr>
  </w:style>
  <w:style w:type="paragraph" w:styleId="TOC1">
    <w:name w:val="toc 1"/>
    <w:basedOn w:val="Normal"/>
    <w:next w:val="Normal"/>
    <w:autoRedefine/>
    <w:uiPriority w:val="39"/>
    <w:unhideWhenUsed/>
    <w:rsid w:val="00A44137"/>
    <w:pPr>
      <w:spacing w:after="100"/>
    </w:pPr>
  </w:style>
  <w:style w:type="character" w:customStyle="1" w:styleId="NoSpacingChar">
    <w:name w:val="No Spacing Char"/>
    <w:basedOn w:val="DefaultParagraphFont"/>
    <w:link w:val="NoSpacing"/>
    <w:uiPriority w:val="1"/>
    <w:rsid w:val="003B4F5A"/>
  </w:style>
  <w:style w:type="paragraph" w:styleId="CommentText">
    <w:name w:val="annotation text"/>
    <w:basedOn w:val="Normal"/>
    <w:link w:val="CommentTextChar"/>
    <w:uiPriority w:val="99"/>
    <w:unhideWhenUsed/>
    <w:rsid w:val="001F3CD0"/>
    <w:pPr>
      <w:spacing w:line="240" w:lineRule="auto"/>
    </w:pPr>
    <w:rPr>
      <w:sz w:val="20"/>
      <w:szCs w:val="20"/>
    </w:rPr>
  </w:style>
  <w:style w:type="character" w:customStyle="1" w:styleId="CommentTextChar">
    <w:name w:val="Comment Text Char"/>
    <w:basedOn w:val="DefaultParagraphFont"/>
    <w:link w:val="CommentText"/>
    <w:uiPriority w:val="99"/>
    <w:rsid w:val="001F3CD0"/>
    <w:rPr>
      <w:sz w:val="20"/>
      <w:szCs w:val="20"/>
    </w:rPr>
  </w:style>
  <w:style w:type="paragraph" w:styleId="CommentSubject">
    <w:name w:val="annotation subject"/>
    <w:basedOn w:val="CommentText"/>
    <w:next w:val="CommentText"/>
    <w:link w:val="CommentSubjectChar"/>
    <w:uiPriority w:val="99"/>
    <w:semiHidden/>
    <w:unhideWhenUsed/>
    <w:rsid w:val="001F3CD0"/>
    <w:rPr>
      <w:b/>
      <w:bCs/>
    </w:rPr>
  </w:style>
  <w:style w:type="character" w:customStyle="1" w:styleId="CommentSubjectChar">
    <w:name w:val="Comment Subject Char"/>
    <w:basedOn w:val="CommentTextChar"/>
    <w:link w:val="CommentSubject"/>
    <w:uiPriority w:val="99"/>
    <w:semiHidden/>
    <w:rsid w:val="001F3CD0"/>
    <w:rPr>
      <w:b/>
      <w:bCs/>
      <w:sz w:val="20"/>
      <w:szCs w:val="20"/>
    </w:rPr>
  </w:style>
  <w:style w:type="paragraph" w:styleId="Revision">
    <w:name w:val="Revision"/>
    <w:hidden/>
    <w:uiPriority w:val="99"/>
    <w:semiHidden/>
    <w:rsid w:val="006148A2"/>
    <w:pPr>
      <w:spacing w:after="0" w:line="240" w:lineRule="auto"/>
    </w:pPr>
  </w:style>
  <w:style w:type="character" w:styleId="UnresolvedMention">
    <w:name w:val="Unresolved Mention"/>
    <w:basedOn w:val="DefaultParagraphFont"/>
    <w:uiPriority w:val="99"/>
    <w:semiHidden/>
    <w:unhideWhenUsed/>
    <w:rsid w:val="00F25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9162">
      <w:bodyDiv w:val="1"/>
      <w:marLeft w:val="0"/>
      <w:marRight w:val="0"/>
      <w:marTop w:val="0"/>
      <w:marBottom w:val="0"/>
      <w:divBdr>
        <w:top w:val="none" w:sz="0" w:space="0" w:color="auto"/>
        <w:left w:val="none" w:sz="0" w:space="0" w:color="auto"/>
        <w:bottom w:val="none" w:sz="0" w:space="0" w:color="auto"/>
        <w:right w:val="none" w:sz="0" w:space="0" w:color="auto"/>
      </w:divBdr>
    </w:div>
    <w:div w:id="183716522">
      <w:bodyDiv w:val="1"/>
      <w:marLeft w:val="0"/>
      <w:marRight w:val="0"/>
      <w:marTop w:val="0"/>
      <w:marBottom w:val="0"/>
      <w:divBdr>
        <w:top w:val="none" w:sz="0" w:space="0" w:color="auto"/>
        <w:left w:val="none" w:sz="0" w:space="0" w:color="auto"/>
        <w:bottom w:val="none" w:sz="0" w:space="0" w:color="auto"/>
        <w:right w:val="none" w:sz="0" w:space="0" w:color="auto"/>
      </w:divBdr>
    </w:div>
    <w:div w:id="199975384">
      <w:bodyDiv w:val="1"/>
      <w:marLeft w:val="0"/>
      <w:marRight w:val="0"/>
      <w:marTop w:val="0"/>
      <w:marBottom w:val="0"/>
      <w:divBdr>
        <w:top w:val="none" w:sz="0" w:space="0" w:color="auto"/>
        <w:left w:val="none" w:sz="0" w:space="0" w:color="auto"/>
        <w:bottom w:val="none" w:sz="0" w:space="0" w:color="auto"/>
        <w:right w:val="none" w:sz="0" w:space="0" w:color="auto"/>
      </w:divBdr>
    </w:div>
    <w:div w:id="332758368">
      <w:bodyDiv w:val="1"/>
      <w:marLeft w:val="0"/>
      <w:marRight w:val="0"/>
      <w:marTop w:val="0"/>
      <w:marBottom w:val="0"/>
      <w:divBdr>
        <w:top w:val="none" w:sz="0" w:space="0" w:color="auto"/>
        <w:left w:val="none" w:sz="0" w:space="0" w:color="auto"/>
        <w:bottom w:val="none" w:sz="0" w:space="0" w:color="auto"/>
        <w:right w:val="none" w:sz="0" w:space="0" w:color="auto"/>
      </w:divBdr>
    </w:div>
    <w:div w:id="468212085">
      <w:bodyDiv w:val="1"/>
      <w:marLeft w:val="0"/>
      <w:marRight w:val="0"/>
      <w:marTop w:val="0"/>
      <w:marBottom w:val="0"/>
      <w:divBdr>
        <w:top w:val="none" w:sz="0" w:space="0" w:color="auto"/>
        <w:left w:val="none" w:sz="0" w:space="0" w:color="auto"/>
        <w:bottom w:val="none" w:sz="0" w:space="0" w:color="auto"/>
        <w:right w:val="none" w:sz="0" w:space="0" w:color="auto"/>
      </w:divBdr>
    </w:div>
    <w:div w:id="557715253">
      <w:bodyDiv w:val="1"/>
      <w:marLeft w:val="0"/>
      <w:marRight w:val="0"/>
      <w:marTop w:val="0"/>
      <w:marBottom w:val="0"/>
      <w:divBdr>
        <w:top w:val="none" w:sz="0" w:space="0" w:color="auto"/>
        <w:left w:val="none" w:sz="0" w:space="0" w:color="auto"/>
        <w:bottom w:val="none" w:sz="0" w:space="0" w:color="auto"/>
        <w:right w:val="none" w:sz="0" w:space="0" w:color="auto"/>
      </w:divBdr>
    </w:div>
    <w:div w:id="874082282">
      <w:bodyDiv w:val="1"/>
      <w:marLeft w:val="0"/>
      <w:marRight w:val="0"/>
      <w:marTop w:val="0"/>
      <w:marBottom w:val="0"/>
      <w:divBdr>
        <w:top w:val="none" w:sz="0" w:space="0" w:color="auto"/>
        <w:left w:val="none" w:sz="0" w:space="0" w:color="auto"/>
        <w:bottom w:val="none" w:sz="0" w:space="0" w:color="auto"/>
        <w:right w:val="none" w:sz="0" w:space="0" w:color="auto"/>
      </w:divBdr>
    </w:div>
    <w:div w:id="904953681">
      <w:bodyDiv w:val="1"/>
      <w:marLeft w:val="0"/>
      <w:marRight w:val="0"/>
      <w:marTop w:val="0"/>
      <w:marBottom w:val="0"/>
      <w:divBdr>
        <w:top w:val="none" w:sz="0" w:space="0" w:color="auto"/>
        <w:left w:val="none" w:sz="0" w:space="0" w:color="auto"/>
        <w:bottom w:val="none" w:sz="0" w:space="0" w:color="auto"/>
        <w:right w:val="none" w:sz="0" w:space="0" w:color="auto"/>
      </w:divBdr>
    </w:div>
    <w:div w:id="1063334594">
      <w:bodyDiv w:val="1"/>
      <w:marLeft w:val="0"/>
      <w:marRight w:val="0"/>
      <w:marTop w:val="0"/>
      <w:marBottom w:val="0"/>
      <w:divBdr>
        <w:top w:val="none" w:sz="0" w:space="0" w:color="auto"/>
        <w:left w:val="none" w:sz="0" w:space="0" w:color="auto"/>
        <w:bottom w:val="none" w:sz="0" w:space="0" w:color="auto"/>
        <w:right w:val="none" w:sz="0" w:space="0" w:color="auto"/>
      </w:divBdr>
    </w:div>
    <w:div w:id="1093433872">
      <w:bodyDiv w:val="1"/>
      <w:marLeft w:val="0"/>
      <w:marRight w:val="0"/>
      <w:marTop w:val="0"/>
      <w:marBottom w:val="0"/>
      <w:divBdr>
        <w:top w:val="none" w:sz="0" w:space="0" w:color="auto"/>
        <w:left w:val="none" w:sz="0" w:space="0" w:color="auto"/>
        <w:bottom w:val="none" w:sz="0" w:space="0" w:color="auto"/>
        <w:right w:val="none" w:sz="0" w:space="0" w:color="auto"/>
      </w:divBdr>
    </w:div>
    <w:div w:id="1180269045">
      <w:bodyDiv w:val="1"/>
      <w:marLeft w:val="0"/>
      <w:marRight w:val="0"/>
      <w:marTop w:val="0"/>
      <w:marBottom w:val="0"/>
      <w:divBdr>
        <w:top w:val="none" w:sz="0" w:space="0" w:color="auto"/>
        <w:left w:val="none" w:sz="0" w:space="0" w:color="auto"/>
        <w:bottom w:val="none" w:sz="0" w:space="0" w:color="auto"/>
        <w:right w:val="none" w:sz="0" w:space="0" w:color="auto"/>
      </w:divBdr>
    </w:div>
    <w:div w:id="1181354749">
      <w:bodyDiv w:val="1"/>
      <w:marLeft w:val="0"/>
      <w:marRight w:val="0"/>
      <w:marTop w:val="0"/>
      <w:marBottom w:val="0"/>
      <w:divBdr>
        <w:top w:val="none" w:sz="0" w:space="0" w:color="auto"/>
        <w:left w:val="none" w:sz="0" w:space="0" w:color="auto"/>
        <w:bottom w:val="none" w:sz="0" w:space="0" w:color="auto"/>
        <w:right w:val="none" w:sz="0" w:space="0" w:color="auto"/>
      </w:divBdr>
    </w:div>
    <w:div w:id="1222860664">
      <w:bodyDiv w:val="1"/>
      <w:marLeft w:val="0"/>
      <w:marRight w:val="0"/>
      <w:marTop w:val="0"/>
      <w:marBottom w:val="0"/>
      <w:divBdr>
        <w:top w:val="none" w:sz="0" w:space="0" w:color="auto"/>
        <w:left w:val="none" w:sz="0" w:space="0" w:color="auto"/>
        <w:bottom w:val="none" w:sz="0" w:space="0" w:color="auto"/>
        <w:right w:val="none" w:sz="0" w:space="0" w:color="auto"/>
      </w:divBdr>
    </w:div>
    <w:div w:id="1247106416">
      <w:bodyDiv w:val="1"/>
      <w:marLeft w:val="0"/>
      <w:marRight w:val="0"/>
      <w:marTop w:val="0"/>
      <w:marBottom w:val="0"/>
      <w:divBdr>
        <w:top w:val="none" w:sz="0" w:space="0" w:color="auto"/>
        <w:left w:val="none" w:sz="0" w:space="0" w:color="auto"/>
        <w:bottom w:val="none" w:sz="0" w:space="0" w:color="auto"/>
        <w:right w:val="none" w:sz="0" w:space="0" w:color="auto"/>
      </w:divBdr>
    </w:div>
    <w:div w:id="1328558488">
      <w:bodyDiv w:val="1"/>
      <w:marLeft w:val="0"/>
      <w:marRight w:val="0"/>
      <w:marTop w:val="0"/>
      <w:marBottom w:val="0"/>
      <w:divBdr>
        <w:top w:val="none" w:sz="0" w:space="0" w:color="auto"/>
        <w:left w:val="none" w:sz="0" w:space="0" w:color="auto"/>
        <w:bottom w:val="none" w:sz="0" w:space="0" w:color="auto"/>
        <w:right w:val="none" w:sz="0" w:space="0" w:color="auto"/>
      </w:divBdr>
    </w:div>
    <w:div w:id="1390763132">
      <w:bodyDiv w:val="1"/>
      <w:marLeft w:val="0"/>
      <w:marRight w:val="0"/>
      <w:marTop w:val="0"/>
      <w:marBottom w:val="0"/>
      <w:divBdr>
        <w:top w:val="none" w:sz="0" w:space="0" w:color="auto"/>
        <w:left w:val="none" w:sz="0" w:space="0" w:color="auto"/>
        <w:bottom w:val="none" w:sz="0" w:space="0" w:color="auto"/>
        <w:right w:val="none" w:sz="0" w:space="0" w:color="auto"/>
      </w:divBdr>
    </w:div>
    <w:div w:id="1653824051">
      <w:bodyDiv w:val="1"/>
      <w:marLeft w:val="0"/>
      <w:marRight w:val="0"/>
      <w:marTop w:val="0"/>
      <w:marBottom w:val="0"/>
      <w:divBdr>
        <w:top w:val="none" w:sz="0" w:space="0" w:color="auto"/>
        <w:left w:val="none" w:sz="0" w:space="0" w:color="auto"/>
        <w:bottom w:val="none" w:sz="0" w:space="0" w:color="auto"/>
        <w:right w:val="none" w:sz="0" w:space="0" w:color="auto"/>
      </w:divBdr>
    </w:div>
    <w:div w:id="1999923413">
      <w:bodyDiv w:val="1"/>
      <w:marLeft w:val="0"/>
      <w:marRight w:val="0"/>
      <w:marTop w:val="0"/>
      <w:marBottom w:val="0"/>
      <w:divBdr>
        <w:top w:val="none" w:sz="0" w:space="0" w:color="auto"/>
        <w:left w:val="none" w:sz="0" w:space="0" w:color="auto"/>
        <w:bottom w:val="none" w:sz="0" w:space="0" w:color="auto"/>
        <w:right w:val="none" w:sz="0" w:space="0" w:color="auto"/>
      </w:divBdr>
    </w:div>
    <w:div w:id="21216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government/uploads/system/uploads/attachment_data/file/1005759/NPPF_July_2021.pdf" TargetMode="External"/><Relationship Id="rId3" Type="http://schemas.openxmlformats.org/officeDocument/2006/relationships/customXml" Target="../customXml/item3.xml"/><Relationship Id="rId21" Type="http://schemas.openxmlformats.org/officeDocument/2006/relationships/hyperlink" Target="http://www.essex.gov.uk/planning-land-and-recycling/planning-and-development/planning-advice-and-guidance/guidanc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maldon.gov.uk/download/downloads/id/18981/rams_strategy.pdf"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ldon.gov.uk/ldp"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maldon.gov.uk/info/7050/planning_policy/9810/infrastructure_delivery" TargetMode="External"/><Relationship Id="rId1" Type="http://schemas.openxmlformats.org/officeDocument/2006/relationships/hyperlink" Target="https://www.essex.gov.uk/planning-land-and-recycling/planning-and-development/planning-advice-and-guidance/guidanc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S106 Funding Amount</a:t>
            </a:r>
            <a:r>
              <a:rPr lang="en-US" sz="1400" b="1" baseline="0"/>
              <a:t> Received - Amount Spent</a:t>
            </a:r>
            <a:endParaRPr lang="en-US"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'Funds by type and year'!$B$1</c:f>
              <c:strCache>
                <c:ptCount val="1"/>
                <c:pt idx="0">
                  <c:v>Amount Negoitated</c:v>
                </c:pt>
              </c:strCache>
            </c:strRef>
          </c:tx>
          <c:spPr>
            <a:solidFill>
              <a:schemeClr val="accent1"/>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year'!$B$2:$B$5,'Funds by type and year'!$B$7:$B$9,'Funds by type and year'!$B$12:$B$15,'Funds by type and year'!$B$17)</c:f>
              <c:extLst/>
            </c:numRef>
          </c:val>
          <c:extLst>
            <c:ext xmlns:c16="http://schemas.microsoft.com/office/drawing/2014/chart" uri="{C3380CC4-5D6E-409C-BE32-E72D297353CC}">
              <c16:uniqueId val="{00000000-443A-438E-854C-31F909013A2D}"/>
            </c:ext>
          </c:extLst>
        </c:ser>
        <c:ser>
          <c:idx val="1"/>
          <c:order val="1"/>
          <c:tx>
            <c:strRef>
              <c:f>'Funds by type and year'!$C$1</c:f>
              <c:strCache>
                <c:ptCount val="1"/>
                <c:pt idx="0">
                  <c:v>Indexation</c:v>
                </c:pt>
              </c:strCache>
            </c:strRef>
          </c:tx>
          <c:spPr>
            <a:solidFill>
              <a:schemeClr val="accent2"/>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year'!$C$2:$C$5,'Funds by type and year'!$C$7:$C$9,'Funds by type and year'!$C$12:$C$15,'Funds by type and year'!$C$17)</c:f>
              <c:extLst/>
            </c:numRef>
          </c:val>
          <c:extLst>
            <c:ext xmlns:c16="http://schemas.microsoft.com/office/drawing/2014/chart" uri="{C3380CC4-5D6E-409C-BE32-E72D297353CC}">
              <c16:uniqueId val="{00000001-443A-438E-854C-31F909013A2D}"/>
            </c:ext>
          </c:extLst>
        </c:ser>
        <c:ser>
          <c:idx val="2"/>
          <c:order val="2"/>
          <c:tx>
            <c:strRef>
              <c:f>'Funds by type and year'!$D$1</c:f>
              <c:strCache>
                <c:ptCount val="1"/>
                <c:pt idx="0">
                  <c:v>Total Amount Negotiated</c:v>
                </c:pt>
              </c:strCache>
            </c:strRef>
          </c:tx>
          <c:spPr>
            <a:solidFill>
              <a:schemeClr val="accent3"/>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year'!$D$2:$D$5,'Funds by type and year'!$D$7:$D$9,'Funds by type and year'!$D$12:$D$15,'Funds by type and year'!$D$17)</c:f>
              <c:extLst/>
            </c:numRef>
          </c:val>
          <c:extLst>
            <c:ext xmlns:c16="http://schemas.microsoft.com/office/drawing/2014/chart" uri="{C3380CC4-5D6E-409C-BE32-E72D297353CC}">
              <c16:uniqueId val="{00000002-443A-438E-854C-31F909013A2D}"/>
            </c:ext>
          </c:extLst>
        </c:ser>
        <c:ser>
          <c:idx val="3"/>
          <c:order val="3"/>
          <c:tx>
            <c:strRef>
              <c:f>'Funds by type and year'!$E$1</c:f>
              <c:strCache>
                <c:ptCount val="1"/>
              </c:strCache>
            </c:strRef>
          </c:tx>
          <c:spPr>
            <a:solidFill>
              <a:schemeClr val="accent4"/>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year'!$E$2:$E$5,'Funds by type and year'!$E$7:$E$9,'Funds by type and year'!$E$12:$E$15,'Funds by type and year'!$E$17)</c:f>
              <c:extLst/>
            </c:numRef>
          </c:val>
          <c:extLst>
            <c:ext xmlns:c16="http://schemas.microsoft.com/office/drawing/2014/chart" uri="{C3380CC4-5D6E-409C-BE32-E72D297353CC}">
              <c16:uniqueId val="{00000003-443A-438E-854C-31F909013A2D}"/>
            </c:ext>
          </c:extLst>
        </c:ser>
        <c:ser>
          <c:idx val="4"/>
          <c:order val="4"/>
          <c:tx>
            <c:strRef>
              <c:f>'Funds by type and year'!$F$1</c:f>
              <c:strCache>
                <c:ptCount val="1"/>
                <c:pt idx="0">
                  <c:v>Amount Received</c:v>
                </c:pt>
              </c:strCache>
            </c:strRef>
          </c:tx>
          <c:spPr>
            <a:solidFill>
              <a:schemeClr val="accent5"/>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year'!$F$2:$F$5,'Funds by type and year'!$F$7:$F$9,'Funds by type and year'!$F$12:$F$15,'Funds by type and year'!$F$17)</c:f>
              <c:numCache>
                <c:formatCode>"£"#,##0.00</c:formatCode>
                <c:ptCount val="11"/>
                <c:pt idx="0">
                  <c:v>906951.72</c:v>
                </c:pt>
                <c:pt idx="1">
                  <c:v>885593.07000000007</c:v>
                </c:pt>
                <c:pt idx="2">
                  <c:v>23440</c:v>
                </c:pt>
                <c:pt idx="3">
                  <c:v>116121.62</c:v>
                </c:pt>
                <c:pt idx="4">
                  <c:v>15999.41</c:v>
                </c:pt>
                <c:pt idx="5">
                  <c:v>49808.45</c:v>
                </c:pt>
                <c:pt idx="6">
                  <c:v>85375</c:v>
                </c:pt>
                <c:pt idx="7">
                  <c:v>16000</c:v>
                </c:pt>
                <c:pt idx="8">
                  <c:v>940815.3</c:v>
                </c:pt>
                <c:pt idx="9">
                  <c:v>51293.69</c:v>
                </c:pt>
                <c:pt idx="10">
                  <c:v>255000</c:v>
                </c:pt>
              </c:numCache>
              <c:extLst/>
            </c:numRef>
          </c:val>
          <c:extLst>
            <c:ext xmlns:c16="http://schemas.microsoft.com/office/drawing/2014/chart" uri="{C3380CC4-5D6E-409C-BE32-E72D297353CC}">
              <c16:uniqueId val="{00000004-443A-438E-854C-31F909013A2D}"/>
            </c:ext>
          </c:extLst>
        </c:ser>
        <c:ser>
          <c:idx val="5"/>
          <c:order val="5"/>
          <c:tx>
            <c:strRef>
              <c:f>'Funds by type and year'!$G$1</c:f>
              <c:strCache>
                <c:ptCount val="1"/>
                <c:pt idx="0">
                  <c:v>Amount Spent</c:v>
                </c:pt>
              </c:strCache>
            </c:strRef>
          </c:tx>
          <c:spPr>
            <a:solidFill>
              <a:srgbClr val="FF0000"/>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year'!$G$2:$G$5,'Funds by type and year'!$G$7:$G$9,'Funds by type and year'!$G$12:$G$15,'Funds by type and year'!$G$17)</c:f>
              <c:numCache>
                <c:formatCode>"£"#,##0.00</c:formatCode>
                <c:ptCount val="11"/>
                <c:pt idx="0">
                  <c:v>896951.72000000009</c:v>
                </c:pt>
                <c:pt idx="1">
                  <c:v>52861.440000000002</c:v>
                </c:pt>
                <c:pt idx="2">
                  <c:v>23440</c:v>
                </c:pt>
                <c:pt idx="3">
                  <c:v>63291.619999999995</c:v>
                </c:pt>
                <c:pt idx="4">
                  <c:v>8000</c:v>
                </c:pt>
                <c:pt idx="5">
                  <c:v>49808.45</c:v>
                </c:pt>
                <c:pt idx="6">
                  <c:v>85375</c:v>
                </c:pt>
                <c:pt idx="7">
                  <c:v>3268.14</c:v>
                </c:pt>
                <c:pt idx="8">
                  <c:v>87450.91</c:v>
                </c:pt>
                <c:pt idx="9">
                  <c:v>2659</c:v>
                </c:pt>
                <c:pt idx="10">
                  <c:v>255000</c:v>
                </c:pt>
              </c:numCache>
              <c:extLst/>
            </c:numRef>
          </c:val>
          <c:extLst>
            <c:ext xmlns:c16="http://schemas.microsoft.com/office/drawing/2014/chart" uri="{C3380CC4-5D6E-409C-BE32-E72D297353CC}">
              <c16:uniqueId val="{00000005-443A-438E-854C-31F909013A2D}"/>
            </c:ext>
          </c:extLst>
        </c:ser>
        <c:dLbls>
          <c:showLegendKey val="0"/>
          <c:showVal val="0"/>
          <c:showCatName val="0"/>
          <c:showSerName val="0"/>
          <c:showPercent val="0"/>
          <c:showBubbleSize val="0"/>
        </c:dLbls>
        <c:gapWidth val="219"/>
        <c:overlap val="-27"/>
        <c:axId val="912725376"/>
        <c:axId val="912720336"/>
      </c:barChart>
      <c:catAx>
        <c:axId val="9127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720336"/>
        <c:crosses val="autoZero"/>
        <c:auto val="1"/>
        <c:lblAlgn val="ctr"/>
        <c:lblOffset val="100"/>
        <c:noMultiLvlLbl val="0"/>
      </c:catAx>
      <c:valAx>
        <c:axId val="9127203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72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S106 Funding Amount</a:t>
            </a:r>
            <a:r>
              <a:rPr lang="en-US" sz="1400" b="1" baseline="0"/>
              <a:t> Amounts Due in</a:t>
            </a:r>
            <a:endParaRPr lang="en-US"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'Funds by type and year'!$B$1</c:f>
              <c:strCache>
                <c:ptCount val="1"/>
                <c:pt idx="0">
                  <c:v>Amount Negoitated</c:v>
                </c:pt>
              </c:strCache>
            </c:strRef>
          </c:tx>
          <c:spPr>
            <a:solidFill>
              <a:schemeClr val="accent1"/>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year'!$B$2:$B$5,'Funds by type and year'!$B$7:$B$9,'Funds by type and year'!$B$12:$B$15,'Funds by type and year'!$B$17)</c:f>
              <c:extLst/>
            </c:numRef>
          </c:val>
          <c:extLst>
            <c:ext xmlns:c16="http://schemas.microsoft.com/office/drawing/2014/chart" uri="{C3380CC4-5D6E-409C-BE32-E72D297353CC}">
              <c16:uniqueId val="{00000000-C6E0-4C97-9A35-0353BE0B36ED}"/>
            </c:ext>
          </c:extLst>
        </c:ser>
        <c:ser>
          <c:idx val="1"/>
          <c:order val="1"/>
          <c:tx>
            <c:strRef>
              <c:f>'Funds by type and year'!$C$1</c:f>
              <c:strCache>
                <c:ptCount val="1"/>
                <c:pt idx="0">
                  <c:v>Indexation</c:v>
                </c:pt>
              </c:strCache>
            </c:strRef>
          </c:tx>
          <c:spPr>
            <a:solidFill>
              <a:schemeClr val="accent2"/>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year'!$C$2:$C$5,'Funds by type and year'!$C$7:$C$9,'Funds by type and year'!$C$12:$C$15,'Funds by type and year'!$C$17)</c:f>
              <c:extLst/>
            </c:numRef>
          </c:val>
          <c:extLst>
            <c:ext xmlns:c16="http://schemas.microsoft.com/office/drawing/2014/chart" uri="{C3380CC4-5D6E-409C-BE32-E72D297353CC}">
              <c16:uniqueId val="{00000001-C6E0-4C97-9A35-0353BE0B36ED}"/>
            </c:ext>
          </c:extLst>
        </c:ser>
        <c:ser>
          <c:idx val="2"/>
          <c:order val="2"/>
          <c:tx>
            <c:strRef>
              <c:f>'Funds by type and year'!$D$1</c:f>
              <c:strCache>
                <c:ptCount val="1"/>
                <c:pt idx="0">
                  <c:v>Total Amount Negotiated</c:v>
                </c:pt>
              </c:strCache>
            </c:strRef>
          </c:tx>
          <c:spPr>
            <a:solidFill>
              <a:schemeClr val="accent3"/>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year'!$D$2:$D$5,'Funds by type and year'!$D$7:$D$9,'Funds by type and year'!$D$12:$D$15,'Funds by type and year'!$D$17)</c:f>
              <c:extLst/>
            </c:numRef>
          </c:val>
          <c:extLst>
            <c:ext xmlns:c16="http://schemas.microsoft.com/office/drawing/2014/chart" uri="{C3380CC4-5D6E-409C-BE32-E72D297353CC}">
              <c16:uniqueId val="{00000002-C6E0-4C97-9A35-0353BE0B36ED}"/>
            </c:ext>
          </c:extLst>
        </c:ser>
        <c:ser>
          <c:idx val="3"/>
          <c:order val="3"/>
          <c:tx>
            <c:strRef>
              <c:f>'Funds by type and year'!$E$1</c:f>
              <c:strCache>
                <c:ptCount val="1"/>
              </c:strCache>
            </c:strRef>
          </c:tx>
          <c:spPr>
            <a:solidFill>
              <a:schemeClr val="accent4"/>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year'!$E$2:$E$5,'Funds by type and year'!$E$7:$E$9,'Funds by type and year'!$E$12:$E$15,'Funds by type and year'!$E$17)</c:f>
              <c:extLst/>
            </c:numRef>
          </c:val>
          <c:extLst>
            <c:ext xmlns:c16="http://schemas.microsoft.com/office/drawing/2014/chart" uri="{C3380CC4-5D6E-409C-BE32-E72D297353CC}">
              <c16:uniqueId val="{00000003-C6E0-4C97-9A35-0353BE0B36ED}"/>
            </c:ext>
          </c:extLst>
        </c:ser>
        <c:ser>
          <c:idx val="6"/>
          <c:order val="6"/>
          <c:tx>
            <c:strRef>
              <c:f>'Funds by type and year'!$H$1</c:f>
              <c:strCache>
                <c:ptCount val="1"/>
              </c:strCache>
            </c:strRef>
          </c:tx>
          <c:spPr>
            <a:solidFill>
              <a:schemeClr val="accent1">
                <a:lumMod val="6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year'!$H$2:$H$5,'Funds by type and year'!$H$7:$H$9,'Funds by type and year'!$H$12:$H$15,'Funds by type and year'!$H$17)</c:f>
              <c:extLst/>
            </c:numRef>
          </c:val>
          <c:extLst>
            <c:ext xmlns:c16="http://schemas.microsoft.com/office/drawing/2014/chart" uri="{C3380CC4-5D6E-409C-BE32-E72D297353CC}">
              <c16:uniqueId val="{00000004-C6E0-4C97-9A35-0353BE0B36ED}"/>
            </c:ext>
          </c:extLst>
        </c:ser>
        <c:ser>
          <c:idx val="7"/>
          <c:order val="7"/>
          <c:tx>
            <c:strRef>
              <c:f>'Funds by type and year'!$I$1</c:f>
              <c:strCache>
                <c:ptCount val="1"/>
                <c:pt idx="0">
                  <c:v>Amount left to Remit </c:v>
                </c:pt>
              </c:strCache>
            </c:strRef>
          </c:tx>
          <c:spPr>
            <a:solidFill>
              <a:schemeClr val="accent1"/>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year'!$I$2:$I$5,'Funds by type and year'!$I$7:$I$9,'Funds by type and year'!$I$12:$I$15,'Funds by type and year'!$I$17)</c:f>
              <c:numCache>
                <c:formatCode>"£"#,##0.00</c:formatCode>
                <c:ptCount val="11"/>
                <c:pt idx="0">
                  <c:v>47199</c:v>
                </c:pt>
                <c:pt idx="1">
                  <c:v>1035820.04</c:v>
                </c:pt>
                <c:pt idx="2">
                  <c:v>0</c:v>
                </c:pt>
                <c:pt idx="3">
                  <c:v>34560</c:v>
                </c:pt>
                <c:pt idx="4">
                  <c:v>14520</c:v>
                </c:pt>
                <c:pt idx="5">
                  <c:v>0</c:v>
                </c:pt>
                <c:pt idx="6">
                  <c:v>0</c:v>
                </c:pt>
                <c:pt idx="7">
                  <c:v>0</c:v>
                </c:pt>
                <c:pt idx="8">
                  <c:v>184033.09000000003</c:v>
                </c:pt>
                <c:pt idx="9">
                  <c:v>13708</c:v>
                </c:pt>
                <c:pt idx="10">
                  <c:v>0</c:v>
                </c:pt>
              </c:numCache>
              <c:extLst/>
            </c:numRef>
          </c:val>
          <c:extLst>
            <c:ext xmlns:c16="http://schemas.microsoft.com/office/drawing/2014/chart" uri="{C3380CC4-5D6E-409C-BE32-E72D297353CC}">
              <c16:uniqueId val="{00000005-C6E0-4C97-9A35-0353BE0B36ED}"/>
            </c:ext>
          </c:extLst>
        </c:ser>
        <c:ser>
          <c:idx val="8"/>
          <c:order val="8"/>
          <c:tx>
            <c:strRef>
              <c:f>'Funds by type and year'!$J$1</c:f>
              <c:strCache>
                <c:ptCount val="1"/>
              </c:strCache>
            </c:strRef>
          </c:tx>
          <c:spPr>
            <a:solidFill>
              <a:schemeClr val="accent3">
                <a:lumMod val="6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year'!$J$2:$J$5,'Funds by type and year'!$J$7:$J$9,'Funds by type and year'!$J$12:$J$15,'Funds by type and year'!$J$17)</c:f>
              <c:extLst/>
            </c:numRef>
          </c:val>
          <c:extLst>
            <c:ext xmlns:c16="http://schemas.microsoft.com/office/drawing/2014/chart" uri="{C3380CC4-5D6E-409C-BE32-E72D297353CC}">
              <c16:uniqueId val="{00000006-C6E0-4C97-9A35-0353BE0B36ED}"/>
            </c:ext>
          </c:extLst>
        </c:ser>
        <c:ser>
          <c:idx val="9"/>
          <c:order val="9"/>
          <c:tx>
            <c:strRef>
              <c:f>'Funds by type and year'!$K$1</c:f>
              <c:strCache>
                <c:ptCount val="1"/>
              </c:strCache>
            </c:strRef>
          </c:tx>
          <c:spPr>
            <a:solidFill>
              <a:schemeClr val="accent4">
                <a:lumMod val="6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year'!$K$2:$K$5,'Funds by type and year'!$K$7:$K$9,'Funds by type and year'!$K$12:$K$15,'Funds by type and year'!$K$17)</c:f>
              <c:extLst/>
            </c:numRef>
          </c:val>
          <c:extLst>
            <c:ext xmlns:c16="http://schemas.microsoft.com/office/drawing/2014/chart" uri="{C3380CC4-5D6E-409C-BE32-E72D297353CC}">
              <c16:uniqueId val="{00000007-C6E0-4C97-9A35-0353BE0B36ED}"/>
            </c:ext>
          </c:extLst>
        </c:ser>
        <c:ser>
          <c:idx val="10"/>
          <c:order val="10"/>
          <c:tx>
            <c:strRef>
              <c:f>'Funds by type and year'!$L$1</c:f>
              <c:strCache>
                <c:ptCount val="1"/>
                <c:pt idx="0">
                  <c:v>2020/21 Funds out</c:v>
                </c:pt>
              </c:strCache>
            </c:strRef>
          </c:tx>
          <c:spPr>
            <a:solidFill>
              <a:schemeClr val="accent5">
                <a:lumMod val="6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year'!$L$2:$L$5,'Funds by type and year'!$L$7:$L$9,'Funds by type and year'!$L$12:$L$15,'Funds by type and year'!$L$17)</c:f>
              <c:extLst/>
            </c:numRef>
          </c:val>
          <c:extLst>
            <c:ext xmlns:c16="http://schemas.microsoft.com/office/drawing/2014/chart" uri="{C3380CC4-5D6E-409C-BE32-E72D297353CC}">
              <c16:uniqueId val="{00000008-C6E0-4C97-9A35-0353BE0B36ED}"/>
            </c:ext>
          </c:extLst>
        </c:ser>
        <c:ser>
          <c:idx val="11"/>
          <c:order val="11"/>
          <c:tx>
            <c:strRef>
              <c:f>'Funds by type and year'!$M$1</c:f>
              <c:strCache>
                <c:ptCount val="1"/>
              </c:strCache>
            </c:strRef>
          </c:tx>
          <c:spPr>
            <a:solidFill>
              <a:schemeClr val="accent6">
                <a:lumMod val="6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year'!$M$2:$M$5,'Funds by type and year'!$M$7:$M$9,'Funds by type and year'!$M$12:$M$15,'Funds by type and year'!$M$17)</c:f>
              <c:extLst/>
            </c:numRef>
          </c:val>
          <c:extLst>
            <c:ext xmlns:c16="http://schemas.microsoft.com/office/drawing/2014/chart" uri="{C3380CC4-5D6E-409C-BE32-E72D297353CC}">
              <c16:uniqueId val="{00000009-C6E0-4C97-9A35-0353BE0B36ED}"/>
            </c:ext>
          </c:extLst>
        </c:ser>
        <c:ser>
          <c:idx val="12"/>
          <c:order val="12"/>
          <c:tx>
            <c:strRef>
              <c:f>'Funds by type and year'!$N$1</c:f>
              <c:strCache>
                <c:ptCount val="1"/>
                <c:pt idx="0">
                  <c:v>2021/22 Funds in</c:v>
                </c:pt>
              </c:strCache>
            </c:strRef>
          </c:tx>
          <c:spPr>
            <a:solidFill>
              <a:schemeClr val="accent1">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year'!$N$2:$N$5,'Funds by type and year'!$N$7:$N$9,'Funds by type and year'!$N$12:$N$15,'Funds by type and year'!$N$17)</c:f>
              <c:extLst/>
            </c:numRef>
          </c:val>
          <c:extLst>
            <c:ext xmlns:c16="http://schemas.microsoft.com/office/drawing/2014/chart" uri="{C3380CC4-5D6E-409C-BE32-E72D297353CC}">
              <c16:uniqueId val="{0000000A-C6E0-4C97-9A35-0353BE0B36ED}"/>
            </c:ext>
          </c:extLst>
        </c:ser>
        <c:ser>
          <c:idx val="13"/>
          <c:order val="13"/>
          <c:tx>
            <c:strRef>
              <c:f>'Funds by type and year'!$O$1</c:f>
              <c:strCache>
                <c:ptCount val="1"/>
                <c:pt idx="0">
                  <c:v>2021/22 Funds out</c:v>
                </c:pt>
              </c:strCache>
            </c:strRef>
          </c:tx>
          <c:spPr>
            <a:solidFill>
              <a:schemeClr val="accent2">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year'!$O$2:$O$5,'Funds by type and year'!$O$7:$O$9,'Funds by type and year'!$O$12:$O$15,'Funds by type and year'!$O$17)</c:f>
              <c:extLst/>
            </c:numRef>
          </c:val>
          <c:extLst>
            <c:ext xmlns:c16="http://schemas.microsoft.com/office/drawing/2014/chart" uri="{C3380CC4-5D6E-409C-BE32-E72D297353CC}">
              <c16:uniqueId val="{0000000B-C6E0-4C97-9A35-0353BE0B36ED}"/>
            </c:ext>
          </c:extLst>
        </c:ser>
        <c:ser>
          <c:idx val="14"/>
          <c:order val="14"/>
          <c:tx>
            <c:strRef>
              <c:f>'Funds by type and year'!$P$1</c:f>
              <c:strCache>
                <c:ptCount val="1"/>
              </c:strCache>
            </c:strRef>
          </c:tx>
          <c:spPr>
            <a:solidFill>
              <a:schemeClr val="accent3">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year'!$P$2:$P$5,'Funds by type and year'!$P$7:$P$9,'Funds by type and year'!$P$12:$P$15,'Funds by type and year'!$P$17)</c:f>
              <c:extLst/>
            </c:numRef>
          </c:val>
          <c:extLst>
            <c:ext xmlns:c16="http://schemas.microsoft.com/office/drawing/2014/chart" uri="{C3380CC4-5D6E-409C-BE32-E72D297353CC}">
              <c16:uniqueId val="{0000000C-C6E0-4C97-9A35-0353BE0B36ED}"/>
            </c:ext>
          </c:extLst>
        </c:ser>
        <c:ser>
          <c:idx val="15"/>
          <c:order val="15"/>
          <c:tx>
            <c:strRef>
              <c:f>'Funds by type and year'!$Q$1</c:f>
              <c:strCache>
                <c:ptCount val="1"/>
                <c:pt idx="0">
                  <c:v>2022/23 Funds in</c:v>
                </c:pt>
              </c:strCache>
            </c:strRef>
          </c:tx>
          <c:spPr>
            <a:solidFill>
              <a:schemeClr val="accent4">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year'!$Q$2:$Q$5,'Funds by type and year'!$Q$7:$Q$9,'Funds by type and year'!$Q$12:$Q$15,'Funds by type and year'!$Q$17)</c:f>
              <c:extLst/>
            </c:numRef>
          </c:val>
          <c:extLst>
            <c:ext xmlns:c16="http://schemas.microsoft.com/office/drawing/2014/chart" uri="{C3380CC4-5D6E-409C-BE32-E72D297353CC}">
              <c16:uniqueId val="{0000000D-C6E0-4C97-9A35-0353BE0B36ED}"/>
            </c:ext>
          </c:extLst>
        </c:ser>
        <c:ser>
          <c:idx val="16"/>
          <c:order val="16"/>
          <c:tx>
            <c:strRef>
              <c:f>'Funds by type and year'!$R$1</c:f>
              <c:strCache>
                <c:ptCount val="1"/>
                <c:pt idx="0">
                  <c:v>2022/23 Funds out</c:v>
                </c:pt>
              </c:strCache>
            </c:strRef>
          </c:tx>
          <c:spPr>
            <a:solidFill>
              <a:schemeClr val="accent5">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year'!$R$2:$R$5,'Funds by type and year'!$R$7:$R$9,'Funds by type and year'!$R$12:$R$15,'Funds by type and year'!$R$17)</c:f>
              <c:extLst/>
            </c:numRef>
          </c:val>
          <c:extLst>
            <c:ext xmlns:c16="http://schemas.microsoft.com/office/drawing/2014/chart" uri="{C3380CC4-5D6E-409C-BE32-E72D297353CC}">
              <c16:uniqueId val="{0000000E-C6E0-4C97-9A35-0353BE0B36ED}"/>
            </c:ext>
          </c:extLst>
        </c:ser>
        <c:ser>
          <c:idx val="17"/>
          <c:order val="17"/>
          <c:tx>
            <c:strRef>
              <c:f>'Funds by type and year'!$S$1</c:f>
              <c:strCache>
                <c:ptCount val="1"/>
              </c:strCache>
            </c:strRef>
          </c:tx>
          <c:spPr>
            <a:solidFill>
              <a:schemeClr val="accent6">
                <a:lumMod val="80000"/>
                <a:lumOff val="2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year'!$S$2:$S$5,'Funds by type and year'!$S$7:$S$9,'Funds by type and year'!$S$12:$S$15,'Funds by type and year'!$S$17)</c:f>
              <c:extLst/>
            </c:numRef>
          </c:val>
          <c:extLst>
            <c:ext xmlns:c16="http://schemas.microsoft.com/office/drawing/2014/chart" uri="{C3380CC4-5D6E-409C-BE32-E72D297353CC}">
              <c16:uniqueId val="{0000000F-C6E0-4C97-9A35-0353BE0B36ED}"/>
            </c:ext>
          </c:extLst>
        </c:ser>
        <c:ser>
          <c:idx val="18"/>
          <c:order val="18"/>
          <c:tx>
            <c:strRef>
              <c:f>'Funds by type and year'!$T$1</c:f>
              <c:strCache>
                <c:ptCount val="1"/>
                <c:pt idx="0">
                  <c:v>2023/24 Funds in</c:v>
                </c:pt>
              </c:strCache>
            </c:strRef>
          </c:tx>
          <c:spPr>
            <a:solidFill>
              <a:schemeClr val="accent1">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year'!$T$2:$T$5,'Funds by type and year'!$T$7:$T$9,'Funds by type and year'!$T$12:$T$15,'Funds by type and year'!$T$17)</c:f>
              <c:extLst/>
            </c:numRef>
          </c:val>
          <c:extLst>
            <c:ext xmlns:c16="http://schemas.microsoft.com/office/drawing/2014/chart" uri="{C3380CC4-5D6E-409C-BE32-E72D297353CC}">
              <c16:uniqueId val="{00000010-C6E0-4C97-9A35-0353BE0B36ED}"/>
            </c:ext>
          </c:extLst>
        </c:ser>
        <c:ser>
          <c:idx val="19"/>
          <c:order val="19"/>
          <c:tx>
            <c:strRef>
              <c:f>'Funds by type and year'!$U$1</c:f>
              <c:strCache>
                <c:ptCount val="1"/>
                <c:pt idx="0">
                  <c:v>2023/24 Funds out</c:v>
                </c:pt>
              </c:strCache>
            </c:strRef>
          </c:tx>
          <c:spPr>
            <a:solidFill>
              <a:schemeClr val="accent2">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year'!$U$2:$U$5,'Funds by type and year'!$U$7:$U$9,'Funds by type and year'!$U$12:$U$15,'Funds by type and year'!$U$17)</c:f>
              <c:extLst/>
            </c:numRef>
          </c:val>
          <c:extLst>
            <c:ext xmlns:c16="http://schemas.microsoft.com/office/drawing/2014/chart" uri="{C3380CC4-5D6E-409C-BE32-E72D297353CC}">
              <c16:uniqueId val="{00000011-C6E0-4C97-9A35-0353BE0B36ED}"/>
            </c:ext>
          </c:extLst>
        </c:ser>
        <c:ser>
          <c:idx val="20"/>
          <c:order val="20"/>
          <c:tx>
            <c:strRef>
              <c:f>'Funds by type and year'!$V$1</c:f>
              <c:strCache>
                <c:ptCount val="1"/>
              </c:strCache>
            </c:strRef>
          </c:tx>
          <c:spPr>
            <a:solidFill>
              <a:schemeClr val="accent3">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year'!$V$2:$V$5,'Funds by type and year'!$V$7:$V$9,'Funds by type and year'!$V$12:$V$15,'Funds by type and year'!$V$17)</c:f>
              <c:extLst/>
            </c:numRef>
          </c:val>
          <c:extLst>
            <c:ext xmlns:c16="http://schemas.microsoft.com/office/drawing/2014/chart" uri="{C3380CC4-5D6E-409C-BE32-E72D297353CC}">
              <c16:uniqueId val="{00000012-C6E0-4C97-9A35-0353BE0B36ED}"/>
            </c:ext>
          </c:extLst>
        </c:ser>
        <c:ser>
          <c:idx val="21"/>
          <c:order val="21"/>
          <c:tx>
            <c:strRef>
              <c:f>'Funds by type and year'!$W$1</c:f>
              <c:strCache>
                <c:ptCount val="1"/>
                <c:pt idx="0">
                  <c:v>2024/25 Funds in</c:v>
                </c:pt>
              </c:strCache>
            </c:strRef>
          </c:tx>
          <c:spPr>
            <a:solidFill>
              <a:schemeClr val="accent4">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year'!$W$2:$W$5,'Funds by type and year'!$W$7:$W$9,'Funds by type and year'!$W$12:$W$15,'Funds by type and year'!$W$17)</c:f>
              <c:extLst/>
            </c:numRef>
          </c:val>
          <c:extLst>
            <c:ext xmlns:c16="http://schemas.microsoft.com/office/drawing/2014/chart" uri="{C3380CC4-5D6E-409C-BE32-E72D297353CC}">
              <c16:uniqueId val="{00000013-C6E0-4C97-9A35-0353BE0B36ED}"/>
            </c:ext>
          </c:extLst>
        </c:ser>
        <c:ser>
          <c:idx val="22"/>
          <c:order val="22"/>
          <c:tx>
            <c:strRef>
              <c:f>'Funds by type and year'!$X$1</c:f>
              <c:strCache>
                <c:ptCount val="1"/>
                <c:pt idx="0">
                  <c:v>2024/25 Funds out</c:v>
                </c:pt>
              </c:strCache>
            </c:strRef>
          </c:tx>
          <c:spPr>
            <a:solidFill>
              <a:schemeClr val="accent5">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year'!$X$2:$X$5,'Funds by type and year'!$X$7:$X$9,'Funds by type and year'!$X$12:$X$15,'Funds by type and year'!$X$17)</c:f>
              <c:extLst/>
            </c:numRef>
          </c:val>
          <c:extLst>
            <c:ext xmlns:c16="http://schemas.microsoft.com/office/drawing/2014/chart" uri="{C3380CC4-5D6E-409C-BE32-E72D297353CC}">
              <c16:uniqueId val="{00000014-C6E0-4C97-9A35-0353BE0B36ED}"/>
            </c:ext>
          </c:extLst>
        </c:ser>
        <c:ser>
          <c:idx val="23"/>
          <c:order val="23"/>
          <c:tx>
            <c:strRef>
              <c:f>'Funds by type and year'!$Y$1</c:f>
              <c:strCache>
                <c:ptCount val="1"/>
                <c:pt idx="0">
                  <c:v>Multiple Payments</c:v>
                </c:pt>
              </c:strCache>
            </c:strRef>
          </c:tx>
          <c:spPr>
            <a:solidFill>
              <a:schemeClr val="accent6">
                <a:lumMod val="8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year'!$Y$2:$Y$5,'Funds by type and year'!$Y$7:$Y$9,'Funds by type and year'!$Y$12:$Y$15,'Funds by type and year'!$Y$17)</c:f>
              <c:extLst/>
            </c:numRef>
          </c:val>
          <c:extLst>
            <c:ext xmlns:c16="http://schemas.microsoft.com/office/drawing/2014/chart" uri="{C3380CC4-5D6E-409C-BE32-E72D297353CC}">
              <c16:uniqueId val="{00000015-C6E0-4C97-9A35-0353BE0B36ED}"/>
            </c:ext>
          </c:extLst>
        </c:ser>
        <c:ser>
          <c:idx val="24"/>
          <c:order val="24"/>
          <c:tx>
            <c:strRef>
              <c:f>'Funds by type and year'!$Z$1</c:f>
              <c:strCache>
                <c:ptCount val="1"/>
              </c:strCache>
            </c:strRef>
          </c:tx>
          <c:spPr>
            <a:solidFill>
              <a:schemeClr val="accent1">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year'!$Z$2:$Z$5,'Funds by type and year'!$Z$7:$Z$9,'Funds by type and year'!$Z$12:$Z$15,'Funds by type and year'!$Z$17)</c:f>
              <c:extLst/>
            </c:numRef>
          </c:val>
          <c:extLst>
            <c:ext xmlns:c16="http://schemas.microsoft.com/office/drawing/2014/chart" uri="{C3380CC4-5D6E-409C-BE32-E72D297353CC}">
              <c16:uniqueId val="{00000016-C6E0-4C97-9A35-0353BE0B36ED}"/>
            </c:ext>
          </c:extLst>
        </c:ser>
        <c:ser>
          <c:idx val="25"/>
          <c:order val="25"/>
          <c:tx>
            <c:strRef>
              <c:f>'Funds by type and year'!$AA$1</c:f>
              <c:strCache>
                <c:ptCount val="1"/>
              </c:strCache>
            </c:strRef>
          </c:tx>
          <c:spPr>
            <a:solidFill>
              <a:schemeClr val="accent2">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year'!$AA$2:$AA$5,'Funds by type and year'!$AA$7:$AA$9,'Funds by type and year'!$AA$12:$AA$15,'Funds by type and year'!$AA$17)</c:f>
              <c:extLst/>
            </c:numRef>
          </c:val>
          <c:extLst>
            <c:ext xmlns:c16="http://schemas.microsoft.com/office/drawing/2014/chart" uri="{C3380CC4-5D6E-409C-BE32-E72D297353CC}">
              <c16:uniqueId val="{00000017-C6E0-4C97-9A35-0353BE0B36ED}"/>
            </c:ext>
          </c:extLst>
        </c:ser>
        <c:ser>
          <c:idx val="26"/>
          <c:order val="26"/>
          <c:tx>
            <c:strRef>
              <c:f>'Funds by type and year'!$AB$1</c:f>
              <c:strCache>
                <c:ptCount val="1"/>
              </c:strCache>
            </c:strRef>
          </c:tx>
          <c:spPr>
            <a:solidFill>
              <a:schemeClr val="accent3">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year'!$AB$2:$AB$5,'Funds by type and year'!$AB$7:$AB$9,'Funds by type and year'!$AB$12:$AB$15,'Funds by type and year'!$AB$17)</c:f>
              <c:extLst/>
            </c:numRef>
          </c:val>
          <c:extLst>
            <c:ext xmlns:c16="http://schemas.microsoft.com/office/drawing/2014/chart" uri="{C3380CC4-5D6E-409C-BE32-E72D297353CC}">
              <c16:uniqueId val="{00000018-C6E0-4C97-9A35-0353BE0B36ED}"/>
            </c:ext>
          </c:extLst>
        </c:ser>
        <c:ser>
          <c:idx val="27"/>
          <c:order val="27"/>
          <c:tx>
            <c:strRef>
              <c:f>'Funds by type and year'!$AC$1</c:f>
              <c:strCache>
                <c:ptCount val="1"/>
              </c:strCache>
            </c:strRef>
          </c:tx>
          <c:spPr>
            <a:solidFill>
              <a:schemeClr val="accent4">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year'!$AC$2:$AC$5,'Funds by type and year'!$AC$7:$AC$9,'Funds by type and year'!$AC$12:$AC$15,'Funds by type and year'!$AC$17)</c:f>
              <c:extLst/>
            </c:numRef>
          </c:val>
          <c:extLst>
            <c:ext xmlns:c16="http://schemas.microsoft.com/office/drawing/2014/chart" uri="{C3380CC4-5D6E-409C-BE32-E72D297353CC}">
              <c16:uniqueId val="{00000019-C6E0-4C97-9A35-0353BE0B36ED}"/>
            </c:ext>
          </c:extLst>
        </c:ser>
        <c:ser>
          <c:idx val="28"/>
          <c:order val="28"/>
          <c:tx>
            <c:strRef>
              <c:f>'Funds by type and year'!$AD$1</c:f>
              <c:strCache>
                <c:ptCount val="1"/>
              </c:strCache>
            </c:strRef>
          </c:tx>
          <c:spPr>
            <a:solidFill>
              <a:schemeClr val="accent5">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year'!$AD$2:$AD$5,'Funds by type and year'!$AD$7:$AD$9,'Funds by type and year'!$AD$12:$AD$15,'Funds by type and year'!$AD$17)</c:f>
              <c:extLst/>
            </c:numRef>
          </c:val>
          <c:extLst>
            <c:ext xmlns:c16="http://schemas.microsoft.com/office/drawing/2014/chart" uri="{C3380CC4-5D6E-409C-BE32-E72D297353CC}">
              <c16:uniqueId val="{0000001A-C6E0-4C97-9A35-0353BE0B36ED}"/>
            </c:ext>
          </c:extLst>
        </c:ser>
        <c:ser>
          <c:idx val="29"/>
          <c:order val="29"/>
          <c:tx>
            <c:strRef>
              <c:f>'Funds by type and year'!$AE$1</c:f>
              <c:strCache>
                <c:ptCount val="1"/>
              </c:strCache>
            </c:strRef>
          </c:tx>
          <c:spPr>
            <a:solidFill>
              <a:schemeClr val="accent6">
                <a:lumMod val="60000"/>
                <a:lumOff val="4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year'!$AE$2:$AE$5,'Funds by type and year'!$AE$7:$AE$9,'Funds by type and year'!$AE$12:$AE$15,'Funds by type and year'!$AE$17)</c:f>
              <c:extLst/>
            </c:numRef>
          </c:val>
          <c:extLst>
            <c:ext xmlns:c16="http://schemas.microsoft.com/office/drawing/2014/chart" uri="{C3380CC4-5D6E-409C-BE32-E72D297353CC}">
              <c16:uniqueId val="{0000001B-C6E0-4C97-9A35-0353BE0B36ED}"/>
            </c:ext>
          </c:extLst>
        </c:ser>
        <c:ser>
          <c:idx val="30"/>
          <c:order val="30"/>
          <c:tx>
            <c:strRef>
              <c:f>'Funds by type and year'!$AF$1</c:f>
              <c:strCache>
                <c:ptCount val="1"/>
              </c:strCache>
            </c:strRef>
          </c:tx>
          <c:spPr>
            <a:solidFill>
              <a:schemeClr val="accent1">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year'!$AF$2:$AF$5,'Funds by type and year'!$AF$7:$AF$9,'Funds by type and year'!$AF$12:$AF$15,'Funds by type and year'!$AF$17)</c:f>
              <c:extLst/>
            </c:numRef>
          </c:val>
          <c:extLst>
            <c:ext xmlns:c16="http://schemas.microsoft.com/office/drawing/2014/chart" uri="{C3380CC4-5D6E-409C-BE32-E72D297353CC}">
              <c16:uniqueId val="{0000001C-C6E0-4C97-9A35-0353BE0B36ED}"/>
            </c:ext>
          </c:extLst>
        </c:ser>
        <c:ser>
          <c:idx val="31"/>
          <c:order val="31"/>
          <c:tx>
            <c:strRef>
              <c:f>'Funds by type and year'!$AG$1</c:f>
              <c:strCache>
                <c:ptCount val="1"/>
              </c:strCache>
            </c:strRef>
          </c:tx>
          <c:spPr>
            <a:solidFill>
              <a:schemeClr val="accent2">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year'!$AG$2:$AG$5,'Funds by type and year'!$AG$7:$AG$9,'Funds by type and year'!$AG$12:$AG$15,'Funds by type and year'!$AG$17)</c:f>
              <c:extLst/>
            </c:numRef>
          </c:val>
          <c:extLst>
            <c:ext xmlns:c16="http://schemas.microsoft.com/office/drawing/2014/chart" uri="{C3380CC4-5D6E-409C-BE32-E72D297353CC}">
              <c16:uniqueId val="{0000001D-C6E0-4C97-9A35-0353BE0B36ED}"/>
            </c:ext>
          </c:extLst>
        </c:ser>
        <c:ser>
          <c:idx val="32"/>
          <c:order val="32"/>
          <c:tx>
            <c:strRef>
              <c:f>'Funds by type and year'!$AH$1</c:f>
              <c:strCache>
                <c:ptCount val="1"/>
              </c:strCache>
            </c:strRef>
          </c:tx>
          <c:spPr>
            <a:solidFill>
              <a:schemeClr val="accent3">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year'!$AH$2:$AH$5,'Funds by type and year'!$AH$7:$AH$9,'Funds by type and year'!$AH$12:$AH$15,'Funds by type and year'!$AH$17)</c:f>
              <c:extLst/>
            </c:numRef>
          </c:val>
          <c:extLst>
            <c:ext xmlns:c16="http://schemas.microsoft.com/office/drawing/2014/chart" uri="{C3380CC4-5D6E-409C-BE32-E72D297353CC}">
              <c16:uniqueId val="{0000001E-C6E0-4C97-9A35-0353BE0B36ED}"/>
            </c:ext>
          </c:extLst>
        </c:ser>
        <c:ser>
          <c:idx val="33"/>
          <c:order val="33"/>
          <c:tx>
            <c:strRef>
              <c:f>'Funds by type and year'!$AI$1</c:f>
              <c:strCache>
                <c:ptCount val="1"/>
              </c:strCache>
            </c:strRef>
          </c:tx>
          <c:spPr>
            <a:solidFill>
              <a:schemeClr val="accent4">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year'!$AI$2:$AI$5,'Funds by type and year'!$AI$7:$AI$9,'Funds by type and year'!$AI$12:$AI$15,'Funds by type and year'!$AI$17)</c:f>
              <c:extLst/>
            </c:numRef>
          </c:val>
          <c:extLst>
            <c:ext xmlns:c16="http://schemas.microsoft.com/office/drawing/2014/chart" uri="{C3380CC4-5D6E-409C-BE32-E72D297353CC}">
              <c16:uniqueId val="{0000001F-C6E0-4C97-9A35-0353BE0B36ED}"/>
            </c:ext>
          </c:extLst>
        </c:ser>
        <c:ser>
          <c:idx val="34"/>
          <c:order val="34"/>
          <c:tx>
            <c:strRef>
              <c:f>'Funds by type and year'!$AJ$1</c:f>
              <c:strCache>
                <c:ptCount val="1"/>
              </c:strCache>
            </c:strRef>
          </c:tx>
          <c:spPr>
            <a:solidFill>
              <a:schemeClr val="accent5">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year'!$AJ$2:$AJ$5,'Funds by type and year'!$AJ$7:$AJ$9,'Funds by type and year'!$AJ$12:$AJ$15,'Funds by type and year'!$AJ$17)</c:f>
              <c:extLst/>
            </c:numRef>
          </c:val>
          <c:extLst>
            <c:ext xmlns:c16="http://schemas.microsoft.com/office/drawing/2014/chart" uri="{C3380CC4-5D6E-409C-BE32-E72D297353CC}">
              <c16:uniqueId val="{00000020-C6E0-4C97-9A35-0353BE0B36ED}"/>
            </c:ext>
          </c:extLst>
        </c:ser>
        <c:ser>
          <c:idx val="35"/>
          <c:order val="35"/>
          <c:tx>
            <c:strRef>
              <c:f>'Funds by type and year'!$AK$1</c:f>
              <c:strCache>
                <c:ptCount val="1"/>
              </c:strCache>
            </c:strRef>
          </c:tx>
          <c:spPr>
            <a:solidFill>
              <a:schemeClr val="accent6">
                <a:lumMod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year'!$AK$2:$AK$5,'Funds by type and year'!$AK$7:$AK$9,'Funds by type and year'!$AK$12:$AK$15,'Funds by type and year'!$AK$17)</c:f>
              <c:extLst/>
            </c:numRef>
          </c:val>
          <c:extLst>
            <c:ext xmlns:c16="http://schemas.microsoft.com/office/drawing/2014/chart" uri="{C3380CC4-5D6E-409C-BE32-E72D297353CC}">
              <c16:uniqueId val="{00000021-C6E0-4C97-9A35-0353BE0B36ED}"/>
            </c:ext>
          </c:extLst>
        </c:ser>
        <c:ser>
          <c:idx val="36"/>
          <c:order val="36"/>
          <c:tx>
            <c:strRef>
              <c:f>'Funds by type and year'!$AL$1</c:f>
              <c:strCache>
                <c:ptCount val="1"/>
              </c:strCache>
            </c:strRef>
          </c:tx>
          <c:spPr>
            <a:solidFill>
              <a:schemeClr val="accent1">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year'!$AL$2:$AL$5,'Funds by type and year'!$AL$7:$AL$9,'Funds by type and year'!$AL$12:$AL$15,'Funds by type and year'!$AL$17)</c:f>
              <c:extLst/>
            </c:numRef>
          </c:val>
          <c:extLst>
            <c:ext xmlns:c16="http://schemas.microsoft.com/office/drawing/2014/chart" uri="{C3380CC4-5D6E-409C-BE32-E72D297353CC}">
              <c16:uniqueId val="{00000022-C6E0-4C97-9A35-0353BE0B36ED}"/>
            </c:ext>
          </c:extLst>
        </c:ser>
        <c:ser>
          <c:idx val="37"/>
          <c:order val="37"/>
          <c:tx>
            <c:strRef>
              <c:f>'Funds by type and year'!$AM$1</c:f>
              <c:strCache>
                <c:ptCount val="1"/>
              </c:strCache>
            </c:strRef>
          </c:tx>
          <c:spPr>
            <a:solidFill>
              <a:schemeClr val="accent2">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year'!$AM$2:$AM$5,'Funds by type and year'!$AM$7:$AM$9,'Funds by type and year'!$AM$12:$AM$15,'Funds by type and year'!$AM$17)</c:f>
              <c:extLst/>
            </c:numRef>
          </c:val>
          <c:extLst>
            <c:ext xmlns:c16="http://schemas.microsoft.com/office/drawing/2014/chart" uri="{C3380CC4-5D6E-409C-BE32-E72D297353CC}">
              <c16:uniqueId val="{00000023-C6E0-4C97-9A35-0353BE0B36ED}"/>
            </c:ext>
          </c:extLst>
        </c:ser>
        <c:ser>
          <c:idx val="38"/>
          <c:order val="38"/>
          <c:tx>
            <c:strRef>
              <c:f>'Funds by type and year'!$AN$1</c:f>
              <c:strCache>
                <c:ptCount val="1"/>
              </c:strCache>
            </c:strRef>
          </c:tx>
          <c:spPr>
            <a:solidFill>
              <a:schemeClr val="accent3">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year'!$AN$2:$AN$5,'Funds by type and year'!$AN$7:$AN$9,'Funds by type and year'!$AN$12:$AN$15,'Funds by type and year'!$AN$17)</c:f>
              <c:extLst/>
            </c:numRef>
          </c:val>
          <c:extLst>
            <c:ext xmlns:c16="http://schemas.microsoft.com/office/drawing/2014/chart" uri="{C3380CC4-5D6E-409C-BE32-E72D297353CC}">
              <c16:uniqueId val="{00000024-C6E0-4C97-9A35-0353BE0B36ED}"/>
            </c:ext>
          </c:extLst>
        </c:ser>
        <c:ser>
          <c:idx val="39"/>
          <c:order val="39"/>
          <c:tx>
            <c:strRef>
              <c:f>'Funds by type and year'!$AO$1</c:f>
              <c:strCache>
                <c:ptCount val="1"/>
              </c:strCache>
            </c:strRef>
          </c:tx>
          <c:spPr>
            <a:solidFill>
              <a:schemeClr val="accent4">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year'!$AO$2:$AO$5,'Funds by type and year'!$AO$7:$AO$9,'Funds by type and year'!$AO$12:$AO$15,'Funds by type and year'!$AO$17)</c:f>
              <c:extLst/>
            </c:numRef>
          </c:val>
          <c:extLst>
            <c:ext xmlns:c16="http://schemas.microsoft.com/office/drawing/2014/chart" uri="{C3380CC4-5D6E-409C-BE32-E72D297353CC}">
              <c16:uniqueId val="{00000025-C6E0-4C97-9A35-0353BE0B36ED}"/>
            </c:ext>
          </c:extLst>
        </c:ser>
        <c:ser>
          <c:idx val="40"/>
          <c:order val="40"/>
          <c:tx>
            <c:strRef>
              <c:f>'Funds by type and year'!$AP$1</c:f>
              <c:strCache>
                <c:ptCount val="1"/>
              </c:strCache>
            </c:strRef>
          </c:tx>
          <c:spPr>
            <a:solidFill>
              <a:schemeClr val="accent5">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year'!$AP$2:$AP$5,'Funds by type and year'!$AP$7:$AP$9,'Funds by type and year'!$AP$12:$AP$15,'Funds by type and year'!$AP$17)</c:f>
              <c:extLst/>
            </c:numRef>
          </c:val>
          <c:extLst>
            <c:ext xmlns:c16="http://schemas.microsoft.com/office/drawing/2014/chart" uri="{C3380CC4-5D6E-409C-BE32-E72D297353CC}">
              <c16:uniqueId val="{00000026-C6E0-4C97-9A35-0353BE0B36ED}"/>
            </c:ext>
          </c:extLst>
        </c:ser>
        <c:ser>
          <c:idx val="41"/>
          <c:order val="41"/>
          <c:tx>
            <c:strRef>
              <c:f>'Funds by type and year'!$AQ$1</c:f>
              <c:strCache>
                <c:ptCount val="1"/>
              </c:strCache>
            </c:strRef>
          </c:tx>
          <c:spPr>
            <a:solidFill>
              <a:schemeClr val="accent6">
                <a:lumMod val="70000"/>
                <a:lumOff val="3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year'!$AQ$2:$AQ$5,'Funds by type and year'!$AQ$7:$AQ$9,'Funds by type and year'!$AQ$12:$AQ$15,'Funds by type and year'!$AQ$17)</c:f>
              <c:extLst/>
            </c:numRef>
          </c:val>
          <c:extLst>
            <c:ext xmlns:c16="http://schemas.microsoft.com/office/drawing/2014/chart" uri="{C3380CC4-5D6E-409C-BE32-E72D297353CC}">
              <c16:uniqueId val="{00000027-C6E0-4C97-9A35-0353BE0B36ED}"/>
            </c:ext>
          </c:extLst>
        </c:ser>
        <c:ser>
          <c:idx val="42"/>
          <c:order val="42"/>
          <c:tx>
            <c:strRef>
              <c:f>'Funds by type and year'!$AR$1</c:f>
              <c:strCache>
                <c:ptCount val="1"/>
              </c:strCache>
            </c:strRef>
          </c:tx>
          <c:spPr>
            <a:solidFill>
              <a:schemeClr val="accent1">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year'!$AR$2:$AR$5,'Funds by type and year'!$AR$7:$AR$9,'Funds by type and year'!$AR$12:$AR$15,'Funds by type and year'!$AR$17)</c:f>
              <c:extLst/>
            </c:numRef>
          </c:val>
          <c:extLst>
            <c:ext xmlns:c16="http://schemas.microsoft.com/office/drawing/2014/chart" uri="{C3380CC4-5D6E-409C-BE32-E72D297353CC}">
              <c16:uniqueId val="{00000028-C6E0-4C97-9A35-0353BE0B36ED}"/>
            </c:ext>
          </c:extLst>
        </c:ser>
        <c:ser>
          <c:idx val="43"/>
          <c:order val="43"/>
          <c:tx>
            <c:strRef>
              <c:f>'Funds by type and year'!$AS$1</c:f>
              <c:strCache>
                <c:ptCount val="1"/>
              </c:strCache>
            </c:strRef>
          </c:tx>
          <c:spPr>
            <a:solidFill>
              <a:schemeClr val="accent2">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year'!$AS$2:$AS$5,'Funds by type and year'!$AS$7:$AS$9,'Funds by type and year'!$AS$12:$AS$15,'Funds by type and year'!$AS$17)</c:f>
              <c:extLst/>
            </c:numRef>
          </c:val>
          <c:extLst>
            <c:ext xmlns:c16="http://schemas.microsoft.com/office/drawing/2014/chart" uri="{C3380CC4-5D6E-409C-BE32-E72D297353CC}">
              <c16:uniqueId val="{00000029-C6E0-4C97-9A35-0353BE0B36ED}"/>
            </c:ext>
          </c:extLst>
        </c:ser>
        <c:ser>
          <c:idx val="44"/>
          <c:order val="44"/>
          <c:tx>
            <c:strRef>
              <c:f>'Funds by type and year'!$AT$1</c:f>
              <c:strCache>
                <c:ptCount val="1"/>
              </c:strCache>
            </c:strRef>
          </c:tx>
          <c:spPr>
            <a:solidFill>
              <a:schemeClr val="accent3">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year'!$AT$2:$AT$5,'Funds by type and year'!$AT$7:$AT$9,'Funds by type and year'!$AT$12:$AT$15,'Funds by type and year'!$AT$17)</c:f>
              <c:extLst/>
            </c:numRef>
          </c:val>
          <c:extLst>
            <c:ext xmlns:c16="http://schemas.microsoft.com/office/drawing/2014/chart" uri="{C3380CC4-5D6E-409C-BE32-E72D297353CC}">
              <c16:uniqueId val="{0000002A-C6E0-4C97-9A35-0353BE0B36ED}"/>
            </c:ext>
          </c:extLst>
        </c:ser>
        <c:ser>
          <c:idx val="45"/>
          <c:order val="45"/>
          <c:tx>
            <c:strRef>
              <c:f>'Funds by type and year'!$AU$1</c:f>
              <c:strCache>
                <c:ptCount val="1"/>
              </c:strCache>
            </c:strRef>
          </c:tx>
          <c:spPr>
            <a:solidFill>
              <a:schemeClr val="accent4">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year'!$AU$2:$AU$5,'Funds by type and year'!$AU$7:$AU$9,'Funds by type and year'!$AU$12:$AU$15,'Funds by type and year'!$AU$17)</c:f>
              <c:extLst/>
            </c:numRef>
          </c:val>
          <c:extLst>
            <c:ext xmlns:c16="http://schemas.microsoft.com/office/drawing/2014/chart" uri="{C3380CC4-5D6E-409C-BE32-E72D297353CC}">
              <c16:uniqueId val="{0000002B-C6E0-4C97-9A35-0353BE0B36ED}"/>
            </c:ext>
          </c:extLst>
        </c:ser>
        <c:ser>
          <c:idx val="46"/>
          <c:order val="46"/>
          <c:tx>
            <c:strRef>
              <c:f>'Funds by type and year'!$AV$1</c:f>
              <c:strCache>
                <c:ptCount val="1"/>
              </c:strCache>
            </c:strRef>
          </c:tx>
          <c:spPr>
            <a:solidFill>
              <a:schemeClr val="accent5">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year'!$AV$2:$AV$5,'Funds by type and year'!$AV$7:$AV$9,'Funds by type and year'!$AV$12:$AV$15,'Funds by type and year'!$AV$17)</c:f>
              <c:extLst/>
            </c:numRef>
          </c:val>
          <c:extLst>
            <c:ext xmlns:c16="http://schemas.microsoft.com/office/drawing/2014/chart" uri="{C3380CC4-5D6E-409C-BE32-E72D297353CC}">
              <c16:uniqueId val="{0000002C-C6E0-4C97-9A35-0353BE0B36ED}"/>
            </c:ext>
          </c:extLst>
        </c:ser>
        <c:ser>
          <c:idx val="47"/>
          <c:order val="47"/>
          <c:tx>
            <c:strRef>
              <c:f>'Funds by type and year'!$AW$1</c:f>
              <c:strCache>
                <c:ptCount val="1"/>
              </c:strCache>
            </c:strRef>
          </c:tx>
          <c:spPr>
            <a:solidFill>
              <a:schemeClr val="accent6">
                <a:lumMod val="7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year'!$AW$2:$AW$5,'Funds by type and year'!$AW$7:$AW$9,'Funds by type and year'!$AW$12:$AW$15,'Funds by type and year'!$AW$17)</c:f>
              <c:extLst/>
            </c:numRef>
          </c:val>
          <c:extLst>
            <c:ext xmlns:c16="http://schemas.microsoft.com/office/drawing/2014/chart" uri="{C3380CC4-5D6E-409C-BE32-E72D297353CC}">
              <c16:uniqueId val="{0000002D-C6E0-4C97-9A35-0353BE0B36ED}"/>
            </c:ext>
          </c:extLst>
        </c:ser>
        <c:ser>
          <c:idx val="48"/>
          <c:order val="48"/>
          <c:tx>
            <c:strRef>
              <c:f>'Funds by type and year'!$AX$1</c:f>
              <c:strCache>
                <c:ptCount val="1"/>
              </c:strCache>
            </c:strRef>
          </c:tx>
          <c:spPr>
            <a:solidFill>
              <a:schemeClr val="accent1">
                <a:lumMod val="50000"/>
                <a:lumOff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year'!$AX$2:$AX$5,'Funds by type and year'!$AX$7:$AX$9,'Funds by type and year'!$AX$12:$AX$15,'Funds by type and year'!$AX$17)</c:f>
              <c:extLst/>
            </c:numRef>
          </c:val>
          <c:extLst>
            <c:ext xmlns:c16="http://schemas.microsoft.com/office/drawing/2014/chart" uri="{C3380CC4-5D6E-409C-BE32-E72D297353CC}">
              <c16:uniqueId val="{0000002E-C6E0-4C97-9A35-0353BE0B36ED}"/>
            </c:ext>
          </c:extLst>
        </c:ser>
        <c:ser>
          <c:idx val="49"/>
          <c:order val="49"/>
          <c:tx>
            <c:strRef>
              <c:f>'Funds by type and year'!$AY$1</c:f>
              <c:strCache>
                <c:ptCount val="1"/>
              </c:strCache>
            </c:strRef>
          </c:tx>
          <c:spPr>
            <a:solidFill>
              <a:schemeClr val="accent2">
                <a:lumMod val="50000"/>
                <a:lumOff val="50000"/>
              </a:schemeClr>
            </a:solidFill>
            <a:ln>
              <a:noFill/>
            </a:ln>
            <a:effectLst/>
          </c:spPr>
          <c:invertIfNegative val="0"/>
          <c:cat>
            <c:strRef>
              <c:f>('Funds by type and year'!$A$2:$A$5,'Funds by type and year'!$A$7:$A$9,'Funds by type and year'!$A$12:$A$15,'Funds by type and year'!$A$17)</c:f>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extLst/>
            </c:strRef>
          </c:cat>
          <c:val>
            <c:numRef>
              <c:f>('Funds by type and year'!$AY$2:$AY$5,'Funds by type and year'!$AY$7:$AY$9,'Funds by type and year'!$AY$12:$AY$15,'Funds by type and year'!$AY$17)</c:f>
              <c:numCache>
                <c:formatCode>General</c:formatCode>
                <c:ptCount val="11"/>
              </c:numCache>
              <c:extLst/>
            </c:numRef>
          </c:val>
          <c:extLst>
            <c:ext xmlns:c16="http://schemas.microsoft.com/office/drawing/2014/chart" uri="{C3380CC4-5D6E-409C-BE32-E72D297353CC}">
              <c16:uniqueId val="{0000002F-C6E0-4C97-9A35-0353BE0B36ED}"/>
            </c:ext>
          </c:extLst>
        </c:ser>
        <c:dLbls>
          <c:showLegendKey val="0"/>
          <c:showVal val="0"/>
          <c:showCatName val="0"/>
          <c:showSerName val="0"/>
          <c:showPercent val="0"/>
          <c:showBubbleSize val="0"/>
        </c:dLbls>
        <c:gapWidth val="219"/>
        <c:overlap val="-27"/>
        <c:axId val="912725376"/>
        <c:axId val="912720336"/>
        <c:extLst>
          <c:ext xmlns:c15="http://schemas.microsoft.com/office/drawing/2012/chart" uri="{02D57815-91ED-43cb-92C2-25804820EDAC}">
            <c15:filteredBarSeries>
              <c15:ser>
                <c:idx val="4"/>
                <c:order val="4"/>
                <c:tx>
                  <c:strRef>
                    <c:extLst>
                      <c:ext uri="{02D57815-91ED-43cb-92C2-25804820EDAC}">
                        <c15:formulaRef>
                          <c15:sqref>'Funds by type and year'!$F$1</c15:sqref>
                        </c15:formulaRef>
                      </c:ext>
                    </c:extLst>
                    <c:strCache>
                      <c:ptCount val="1"/>
                      <c:pt idx="0">
                        <c:v>Amount Received</c:v>
                      </c:pt>
                    </c:strCache>
                  </c:strRef>
                </c:tx>
                <c:spPr>
                  <a:solidFill>
                    <a:schemeClr val="accent5"/>
                  </a:solidFill>
                  <a:ln>
                    <a:noFill/>
                  </a:ln>
                  <a:effectLst/>
                </c:spPr>
                <c:invertIfNegative val="0"/>
                <c:cat>
                  <c:strRef>
                    <c:extLst>
                      <c:ext uri="{02D57815-91ED-43cb-92C2-25804820EDAC}">
                        <c15:formulaRef>
                          <c15:sqref>('Funds by type and year'!$A$2:$A$5,'Funds by type and year'!$A$7:$A$9,'Funds by type and year'!$A$12:$A$15,'Funds by type and year'!$A$17)</c15:sqref>
                        </c15:formulaRef>
                      </c:ext>
                    </c:extLst>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strRef>
                </c:cat>
                <c:val>
                  <c:numRef>
                    <c:extLst>
                      <c:ext uri="{02D57815-91ED-43cb-92C2-25804820EDAC}">
                        <c15:formulaRef>
                          <c15:sqref>('Funds by type and year'!$F$2:$F$5,'Funds by type and year'!$F$7:$F$9,'Funds by type and year'!$F$12:$F$15,'Funds by type and year'!$F$17)</c15:sqref>
                        </c15:formulaRef>
                      </c:ext>
                    </c:extLst>
                    <c:numCache>
                      <c:formatCode>"£"#,##0.00</c:formatCode>
                      <c:ptCount val="11"/>
                      <c:pt idx="0">
                        <c:v>906951.72</c:v>
                      </c:pt>
                      <c:pt idx="1">
                        <c:v>885593.07000000007</c:v>
                      </c:pt>
                      <c:pt idx="2">
                        <c:v>23440</c:v>
                      </c:pt>
                      <c:pt idx="3">
                        <c:v>116121.62</c:v>
                      </c:pt>
                      <c:pt idx="4">
                        <c:v>15999.41</c:v>
                      </c:pt>
                      <c:pt idx="5">
                        <c:v>49808.45</c:v>
                      </c:pt>
                      <c:pt idx="6">
                        <c:v>85375</c:v>
                      </c:pt>
                      <c:pt idx="7">
                        <c:v>16000</c:v>
                      </c:pt>
                      <c:pt idx="8">
                        <c:v>940815.3</c:v>
                      </c:pt>
                      <c:pt idx="9">
                        <c:v>51293.69</c:v>
                      </c:pt>
                      <c:pt idx="10">
                        <c:v>255000</c:v>
                      </c:pt>
                    </c:numCache>
                  </c:numRef>
                </c:val>
                <c:extLst>
                  <c:ext xmlns:c16="http://schemas.microsoft.com/office/drawing/2014/chart" uri="{C3380CC4-5D6E-409C-BE32-E72D297353CC}">
                    <c16:uniqueId val="{00000030-C6E0-4C97-9A35-0353BE0B36E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'Funds by type and year'!$G$1</c15:sqref>
                        </c15:formulaRef>
                      </c:ext>
                    </c:extLst>
                    <c:strCache>
                      <c:ptCount val="1"/>
                      <c:pt idx="0">
                        <c:v>Amount Spent</c:v>
                      </c:pt>
                    </c:strCache>
                  </c:strRef>
                </c:tx>
                <c:spPr>
                  <a:solidFill>
                    <a:srgbClr val="FF0000"/>
                  </a:solidFill>
                  <a:ln>
                    <a:noFill/>
                  </a:ln>
                  <a:effectLst/>
                </c:spPr>
                <c:invertIfNegative val="0"/>
                <c:cat>
                  <c:strRef>
                    <c:extLst xmlns:c15="http://schemas.microsoft.com/office/drawing/2012/chart">
                      <c:ext xmlns:c15="http://schemas.microsoft.com/office/drawing/2012/chart" uri="{02D57815-91ED-43cb-92C2-25804820EDAC}">
                        <c15:formulaRef>
                          <c15:sqref>('Funds by type and year'!$A$2:$A$5,'Funds by type and year'!$A$7:$A$9,'Funds by type and year'!$A$12:$A$15,'Funds by type and year'!$A$17)</c15:sqref>
                        </c15:formulaRef>
                      </c:ext>
                    </c:extLst>
                    <c:strCache>
                      <c:ptCount val="11"/>
                      <c:pt idx="0">
                        <c:v>Affordable Housing</c:v>
                      </c:pt>
                      <c:pt idx="1">
                        <c:v>Health</c:v>
                      </c:pt>
                      <c:pt idx="2">
                        <c:v>Open Space</c:v>
                      </c:pt>
                      <c:pt idx="3">
                        <c:v>Open Space (LEAPS&amp;NEAPS)</c:v>
                      </c:pt>
                      <c:pt idx="4">
                        <c:v>Open Space (Allotment)</c:v>
                      </c:pt>
                      <c:pt idx="5">
                        <c:v>Open Space/Ecology</c:v>
                      </c:pt>
                      <c:pt idx="6">
                        <c:v>Open Space (Sports)</c:v>
                      </c:pt>
                      <c:pt idx="7">
                        <c:v>Cycle/Footway</c:v>
                      </c:pt>
                      <c:pt idx="8">
                        <c:v>Youth Facilities</c:v>
                      </c:pt>
                      <c:pt idx="9">
                        <c:v>Monitoring</c:v>
                      </c:pt>
                      <c:pt idx="10">
                        <c:v>Parking</c:v>
                      </c:pt>
                    </c:strCache>
                  </c:strRef>
                </c:cat>
                <c:val>
                  <c:numRef>
                    <c:extLst xmlns:c15="http://schemas.microsoft.com/office/drawing/2012/chart">
                      <c:ext xmlns:c15="http://schemas.microsoft.com/office/drawing/2012/chart" uri="{02D57815-91ED-43cb-92C2-25804820EDAC}">
                        <c15:formulaRef>
                          <c15:sqref>('Funds by type and year'!$G$2:$G$5,'Funds by type and year'!$G$7:$G$9,'Funds by type and year'!$G$12:$G$15,'Funds by type and year'!$G$17)</c15:sqref>
                        </c15:formulaRef>
                      </c:ext>
                    </c:extLst>
                    <c:numCache>
                      <c:formatCode>"£"#,##0.00</c:formatCode>
                      <c:ptCount val="11"/>
                      <c:pt idx="0">
                        <c:v>896951.72000000009</c:v>
                      </c:pt>
                      <c:pt idx="1">
                        <c:v>52861.440000000002</c:v>
                      </c:pt>
                      <c:pt idx="2">
                        <c:v>23440</c:v>
                      </c:pt>
                      <c:pt idx="3">
                        <c:v>63291.619999999995</c:v>
                      </c:pt>
                      <c:pt idx="4">
                        <c:v>8000</c:v>
                      </c:pt>
                      <c:pt idx="5">
                        <c:v>49808.45</c:v>
                      </c:pt>
                      <c:pt idx="6">
                        <c:v>85375</c:v>
                      </c:pt>
                      <c:pt idx="7">
                        <c:v>3268.14</c:v>
                      </c:pt>
                      <c:pt idx="8">
                        <c:v>87450.91</c:v>
                      </c:pt>
                      <c:pt idx="9">
                        <c:v>2659</c:v>
                      </c:pt>
                      <c:pt idx="10">
                        <c:v>255000</c:v>
                      </c:pt>
                    </c:numCache>
                  </c:numRef>
                </c:val>
                <c:extLst xmlns:c15="http://schemas.microsoft.com/office/drawing/2012/chart">
                  <c:ext xmlns:c16="http://schemas.microsoft.com/office/drawing/2014/chart" uri="{C3380CC4-5D6E-409C-BE32-E72D297353CC}">
                    <c16:uniqueId val="{00000031-C6E0-4C97-9A35-0353BE0B36ED}"/>
                  </c:ext>
                </c:extLst>
              </c15:ser>
            </c15:filteredBarSeries>
          </c:ext>
        </c:extLst>
      </c:barChart>
      <c:catAx>
        <c:axId val="9127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720336"/>
        <c:crosses val="autoZero"/>
        <c:auto val="1"/>
        <c:lblAlgn val="ctr"/>
        <c:lblOffset val="100"/>
        <c:noMultiLvlLbl val="0"/>
      </c:catAx>
      <c:valAx>
        <c:axId val="9127203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72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Housing and Affordable Housing Delivered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Housing Delivered</c:v>
                </c:pt>
              </c:strCache>
            </c:strRef>
          </c:tx>
          <c:spPr>
            <a:solidFill>
              <a:schemeClr val="accent1"/>
            </a:solidFill>
            <a:ln>
              <a:noFill/>
            </a:ln>
            <a:effectLst/>
          </c:spPr>
          <c:invertIfNegative val="0"/>
          <c:cat>
            <c:strRef>
              <c:f>Sheet1!$A$2:$A$5</c:f>
              <c:strCache>
                <c:ptCount val="4"/>
                <c:pt idx="0">
                  <c:v>2021/22</c:v>
                </c:pt>
                <c:pt idx="1">
                  <c:v>2022/23</c:v>
                </c:pt>
                <c:pt idx="2">
                  <c:v>2023/24</c:v>
                </c:pt>
                <c:pt idx="3">
                  <c:v>2024/25</c:v>
                </c:pt>
              </c:strCache>
            </c:strRef>
          </c:cat>
          <c:val>
            <c:numRef>
              <c:f>Sheet1!$B$2:$B$5</c:f>
              <c:numCache>
                <c:formatCode>General</c:formatCode>
                <c:ptCount val="4"/>
                <c:pt idx="0">
                  <c:v>330</c:v>
                </c:pt>
                <c:pt idx="1">
                  <c:v>449</c:v>
                </c:pt>
                <c:pt idx="2">
                  <c:v>403</c:v>
                </c:pt>
                <c:pt idx="3">
                  <c:v>400</c:v>
                </c:pt>
              </c:numCache>
            </c:numRef>
          </c:val>
          <c:extLst>
            <c:ext xmlns:c16="http://schemas.microsoft.com/office/drawing/2014/chart" uri="{C3380CC4-5D6E-409C-BE32-E72D297353CC}">
              <c16:uniqueId val="{00000000-247B-4FC0-A0D3-4650C92C51D3}"/>
            </c:ext>
          </c:extLst>
        </c:ser>
        <c:ser>
          <c:idx val="1"/>
          <c:order val="1"/>
          <c:tx>
            <c:strRef>
              <c:f>Sheet1!$C$1</c:f>
              <c:strCache>
                <c:ptCount val="1"/>
                <c:pt idx="0">
                  <c:v>Total Affordable Delivered</c:v>
                </c:pt>
              </c:strCache>
            </c:strRef>
          </c:tx>
          <c:spPr>
            <a:solidFill>
              <a:schemeClr val="accent2"/>
            </a:solidFill>
            <a:ln>
              <a:noFill/>
            </a:ln>
            <a:effectLst/>
          </c:spPr>
          <c:invertIfNegative val="0"/>
          <c:cat>
            <c:strRef>
              <c:f>Sheet1!$A$2:$A$5</c:f>
              <c:strCache>
                <c:ptCount val="4"/>
                <c:pt idx="0">
                  <c:v>2021/22</c:v>
                </c:pt>
                <c:pt idx="1">
                  <c:v>2022/23</c:v>
                </c:pt>
                <c:pt idx="2">
                  <c:v>2023/24</c:v>
                </c:pt>
                <c:pt idx="3">
                  <c:v>2024/25</c:v>
                </c:pt>
              </c:strCache>
            </c:strRef>
          </c:cat>
          <c:val>
            <c:numRef>
              <c:f>Sheet1!$C$2:$C$5</c:f>
              <c:numCache>
                <c:formatCode>General</c:formatCode>
                <c:ptCount val="4"/>
                <c:pt idx="0">
                  <c:v>123</c:v>
                </c:pt>
                <c:pt idx="1">
                  <c:v>111</c:v>
                </c:pt>
                <c:pt idx="2">
                  <c:v>149</c:v>
                </c:pt>
                <c:pt idx="3">
                  <c:v>142</c:v>
                </c:pt>
              </c:numCache>
            </c:numRef>
          </c:val>
          <c:extLst>
            <c:ext xmlns:c16="http://schemas.microsoft.com/office/drawing/2014/chart" uri="{C3380CC4-5D6E-409C-BE32-E72D297353CC}">
              <c16:uniqueId val="{00000001-247B-4FC0-A0D3-4650C92C51D3}"/>
            </c:ext>
          </c:extLst>
        </c:ser>
        <c:dLbls>
          <c:showLegendKey val="0"/>
          <c:showVal val="0"/>
          <c:showCatName val="0"/>
          <c:showSerName val="0"/>
          <c:showPercent val="0"/>
          <c:showBubbleSize val="0"/>
        </c:dLbls>
        <c:gapWidth val="219"/>
        <c:overlap val="-27"/>
        <c:axId val="851788856"/>
        <c:axId val="851784896"/>
      </c:barChart>
      <c:catAx>
        <c:axId val="85178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784896"/>
        <c:crosses val="autoZero"/>
        <c:auto val="1"/>
        <c:lblAlgn val="ctr"/>
        <c:lblOffset val="100"/>
        <c:noMultiLvlLbl val="0"/>
      </c:catAx>
      <c:valAx>
        <c:axId val="85178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78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B4B230060C4DBEA132B89623DB7CF9"/>
        <w:category>
          <w:name w:val="General"/>
          <w:gallery w:val="placeholder"/>
        </w:category>
        <w:types>
          <w:type w:val="bbPlcHdr"/>
        </w:types>
        <w:behaviors>
          <w:behavior w:val="content"/>
        </w:behaviors>
        <w:guid w:val="{446C13B0-00B3-49E3-917C-389C91A7E664}"/>
      </w:docPartPr>
      <w:docPartBody>
        <w:p w:rsidR="00CB7DFF" w:rsidRDefault="00EA4F49" w:rsidP="00EA4F49">
          <w:pPr>
            <w:pStyle w:val="D9B4B230060C4DBEA132B89623DB7CF9"/>
          </w:pPr>
          <w:r>
            <w:rPr>
              <w:color w:val="0F4761" w:themeColor="accent1" w:themeShade="BF"/>
              <w:sz w:val="24"/>
              <w:szCs w:val="24"/>
            </w:rPr>
            <w:t>[Company name]</w:t>
          </w:r>
        </w:p>
      </w:docPartBody>
    </w:docPart>
    <w:docPart>
      <w:docPartPr>
        <w:name w:val="74E01E68E35D48589333F4432E9F8158"/>
        <w:category>
          <w:name w:val="General"/>
          <w:gallery w:val="placeholder"/>
        </w:category>
        <w:types>
          <w:type w:val="bbPlcHdr"/>
        </w:types>
        <w:behaviors>
          <w:behavior w:val="content"/>
        </w:behaviors>
        <w:guid w:val="{F5D054FC-A2B4-4E1C-A5A6-C7B9723529B7}"/>
      </w:docPartPr>
      <w:docPartBody>
        <w:p w:rsidR="00CB7DFF" w:rsidRDefault="00EA4F49" w:rsidP="00EA4F49">
          <w:pPr>
            <w:pStyle w:val="74E01E68E35D48589333F4432E9F8158"/>
          </w:pPr>
          <w:r>
            <w:rPr>
              <w:rFonts w:asciiTheme="majorHAnsi" w:eastAsiaTheme="majorEastAsia" w:hAnsiTheme="majorHAnsi" w:cstheme="majorBidi"/>
              <w:color w:val="156082" w:themeColor="accent1"/>
              <w:sz w:val="88"/>
              <w:szCs w:val="88"/>
            </w:rPr>
            <w:t>[Document title]</w:t>
          </w:r>
        </w:p>
      </w:docPartBody>
    </w:docPart>
    <w:docPart>
      <w:docPartPr>
        <w:name w:val="31D053B0E9D346C3869F6AB8C3C8B045"/>
        <w:category>
          <w:name w:val="General"/>
          <w:gallery w:val="placeholder"/>
        </w:category>
        <w:types>
          <w:type w:val="bbPlcHdr"/>
        </w:types>
        <w:behaviors>
          <w:behavior w:val="content"/>
        </w:behaviors>
        <w:guid w:val="{5D836CC6-DE1A-4DAD-93BB-E4DEAEB09606}"/>
      </w:docPartPr>
      <w:docPartBody>
        <w:p w:rsidR="00CB7DFF" w:rsidRDefault="00EA4F49" w:rsidP="00EA4F49">
          <w:pPr>
            <w:pStyle w:val="31D053B0E9D346C3869F6AB8C3C8B045"/>
          </w:pPr>
          <w:r>
            <w:rPr>
              <w:color w:val="0F4761"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Device Font 10cpi"/>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F49"/>
    <w:rsid w:val="000C1F59"/>
    <w:rsid w:val="000C6B15"/>
    <w:rsid w:val="0023788A"/>
    <w:rsid w:val="00256F58"/>
    <w:rsid w:val="0039450B"/>
    <w:rsid w:val="003B7C2D"/>
    <w:rsid w:val="00472612"/>
    <w:rsid w:val="005764A6"/>
    <w:rsid w:val="005E0C8D"/>
    <w:rsid w:val="007A5BBD"/>
    <w:rsid w:val="008A7DE3"/>
    <w:rsid w:val="00980264"/>
    <w:rsid w:val="009A0E2B"/>
    <w:rsid w:val="00BA3541"/>
    <w:rsid w:val="00CB7DFF"/>
    <w:rsid w:val="00D463A2"/>
    <w:rsid w:val="00E618D6"/>
    <w:rsid w:val="00EA4F49"/>
    <w:rsid w:val="00F21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B4B230060C4DBEA132B89623DB7CF9">
    <w:name w:val="D9B4B230060C4DBEA132B89623DB7CF9"/>
    <w:rsid w:val="00EA4F49"/>
  </w:style>
  <w:style w:type="paragraph" w:customStyle="1" w:styleId="74E01E68E35D48589333F4432E9F8158">
    <w:name w:val="74E01E68E35D48589333F4432E9F8158"/>
    <w:rsid w:val="00EA4F49"/>
  </w:style>
  <w:style w:type="paragraph" w:customStyle="1" w:styleId="31D053B0E9D346C3869F6AB8C3C8B045">
    <w:name w:val="31D053B0E9D346C3869F6AB8C3C8B045"/>
    <w:rsid w:val="00EA4F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45859f0-5896-4844-a3a8-de18241ef712">
      <UserInfo>
        <DisplayName>Matthew Winslow</DisplayName>
        <AccountId>142</AccountId>
        <AccountType/>
      </UserInfo>
      <UserInfo>
        <DisplayName>John Swords</DisplayName>
        <AccountId>77</AccountId>
        <AccountType/>
      </UserInfo>
    </SharedWithUsers>
    <TaxCatchAll xmlns="045859f0-5896-4844-a3a8-de18241ef712" xsi:nil="true"/>
    <Date xmlns="75786df3-7f57-4610-81f7-1ebd9a7fdb32" xsi:nil="true"/>
    <Notes xmlns="75786df3-7f57-4610-81f7-1ebd9a7fdb32" xsi:nil="true"/>
    <Stage xmlns="75786df3-7f57-4610-81f7-1ebd9a7fdb32">Background</Stage>
    <lcf76f155ced4ddcb4097134ff3c332f xmlns="75786df3-7f57-4610-81f7-1ebd9a7fdb3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8042DB3DC72F4EBB8EE50700BEF9C7" ma:contentTypeVersion="21" ma:contentTypeDescription="Create a new document." ma:contentTypeScope="" ma:versionID="aaf66b8226de5a072beb146d2c706527">
  <xsd:schema xmlns:xsd="http://www.w3.org/2001/XMLSchema" xmlns:xs="http://www.w3.org/2001/XMLSchema" xmlns:p="http://schemas.microsoft.com/office/2006/metadata/properties" xmlns:ns2="75786df3-7f57-4610-81f7-1ebd9a7fdb32" xmlns:ns3="045859f0-5896-4844-a3a8-de18241ef712" targetNamespace="http://schemas.microsoft.com/office/2006/metadata/properties" ma:root="true" ma:fieldsID="6abe53b068b20a519fff49eab75b1ec4" ns2:_="" ns3:_="">
    <xsd:import namespace="75786df3-7f57-4610-81f7-1ebd9a7fdb32"/>
    <xsd:import namespace="045859f0-5896-4844-a3a8-de18241ef712"/>
    <xsd:element name="properties">
      <xsd:complexType>
        <xsd:sequence>
          <xsd:element name="documentManagement">
            <xsd:complexType>
              <xsd:all>
                <xsd:element ref="ns2:Stag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Notes" minOccurs="0"/>
                <xsd:element ref="ns2:MediaLengthInSeconds" minOccurs="0"/>
                <xsd:element ref="ns2:lcf76f155ced4ddcb4097134ff3c332f" minOccurs="0"/>
                <xsd:element ref="ns3:TaxCatchAll"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86df3-7f57-4610-81f7-1ebd9a7fdb32" elementFormDefault="qualified">
    <xsd:import namespace="http://schemas.microsoft.com/office/2006/documentManagement/types"/>
    <xsd:import namespace="http://schemas.microsoft.com/office/infopath/2007/PartnerControls"/>
    <xsd:element name="Stage" ma:index="8" nillable="true" ma:displayName="Stage" ma:default="Background" ma:description="What type of document is this?" ma:format="Dropdown" ma:indexed="true" ma:internalName="Stage">
      <xsd:simpleType>
        <xsd:union memberTypes="dms:Text">
          <xsd:simpleType>
            <xsd:restriction base="dms:Choice">
              <xsd:enumeration value="Background"/>
              <xsd:enumeration value="Draft"/>
              <xsd:enumeration value="Final"/>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description="This a dummy copy for reference the proper copy is on line." ma:format="Dropdown" ma:internalName="Notes">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7caecb2-a7f1-42be-9f97-1f6579dc0fff" ma:termSetId="09814cd3-568e-fe90-9814-8d621ff8fb84" ma:anchorId="fba54fb3-c3e1-fe81-a776-ca4b69148c4d" ma:open="true" ma:isKeyword="false">
      <xsd:complexType>
        <xsd:sequence>
          <xsd:element ref="pc:Terms" minOccurs="0" maxOccurs="1"/>
        </xsd:sequence>
      </xsd:complexType>
    </xsd:element>
    <xsd:element name="Date" ma:index="26" nillable="true" ma:displayName="Date" ma:format="Dropdown" ma:internalName="Date">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5859f0-5896-4844-a3a8-de18241ef71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10e1b3d-6bde-48e9-920c-803d2eb55d11}" ma:internalName="TaxCatchAll" ma:showField="CatchAllData" ma:web="045859f0-5896-4844-a3a8-de18241ef7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146F3F-6D6F-48A0-A884-4839704EF8AF}">
  <ds:schemaRefs>
    <ds:schemaRef ds:uri="http://schemas.microsoft.com/office/2006/metadata/properties"/>
    <ds:schemaRef ds:uri="http://schemas.microsoft.com/office/infopath/2007/PartnerControls"/>
    <ds:schemaRef ds:uri="045859f0-5896-4844-a3a8-de18241ef712"/>
    <ds:schemaRef ds:uri="75786df3-7f57-4610-81f7-1ebd9a7fdb32"/>
  </ds:schemaRefs>
</ds:datastoreItem>
</file>

<file path=customXml/itemProps2.xml><?xml version="1.0" encoding="utf-8"?>
<ds:datastoreItem xmlns:ds="http://schemas.openxmlformats.org/officeDocument/2006/customXml" ds:itemID="{08D2C7D1-844C-4759-B9C0-8BE868895E3B}">
  <ds:schemaRefs>
    <ds:schemaRef ds:uri="http://schemas.openxmlformats.org/officeDocument/2006/bibliography"/>
  </ds:schemaRefs>
</ds:datastoreItem>
</file>

<file path=customXml/itemProps3.xml><?xml version="1.0" encoding="utf-8"?>
<ds:datastoreItem xmlns:ds="http://schemas.openxmlformats.org/officeDocument/2006/customXml" ds:itemID="{3F2D1106-E6F5-4EC0-8CC8-DF4B9214FBE5}">
  <ds:schemaRefs>
    <ds:schemaRef ds:uri="http://schemas.microsoft.com/sharepoint/v3/contenttype/forms"/>
  </ds:schemaRefs>
</ds:datastoreItem>
</file>

<file path=customXml/itemProps4.xml><?xml version="1.0" encoding="utf-8"?>
<ds:datastoreItem xmlns:ds="http://schemas.openxmlformats.org/officeDocument/2006/customXml" ds:itemID="{7DADEBEF-823E-40D6-94ED-BAA1C3FD2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86df3-7f57-4610-81f7-1ebd9a7fdb32"/>
    <ds:schemaRef ds:uri="045859f0-5896-4844-a3a8-de18241ef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INFRASTRUCTURE FUNDING STATEMENT</vt:lpstr>
    </vt:vector>
  </TitlesOfParts>
  <Company>MALDON DISTRICT COUNCIL</Company>
  <LinksUpToDate>false</LinksUpToDate>
  <CharactersWithSpaces>11733</CharactersWithSpaces>
  <SharedDoc>false</SharedDoc>
  <HLinks>
    <vt:vector size="54" baseType="variant">
      <vt:variant>
        <vt:i4>7012381</vt:i4>
      </vt:variant>
      <vt:variant>
        <vt:i4>42</vt:i4>
      </vt:variant>
      <vt:variant>
        <vt:i4>0</vt:i4>
      </vt:variant>
      <vt:variant>
        <vt:i4>5</vt:i4>
      </vt:variant>
      <vt:variant>
        <vt:lpwstr>https://assets.publishing.service.gov.uk/government/uploads/system/uploads/attachment_data/file/1005759/NPPF_July_2021.pdf</vt:lpwstr>
      </vt:variant>
      <vt:variant>
        <vt:lpwstr/>
      </vt:variant>
      <vt:variant>
        <vt:i4>6094868</vt:i4>
      </vt:variant>
      <vt:variant>
        <vt:i4>39</vt:i4>
      </vt:variant>
      <vt:variant>
        <vt:i4>0</vt:i4>
      </vt:variant>
      <vt:variant>
        <vt:i4>5</vt:i4>
      </vt:variant>
      <vt:variant>
        <vt:lpwstr>http://www.maldon.gov.uk/ldp</vt:lpwstr>
      </vt:variant>
      <vt:variant>
        <vt:lpwstr/>
      </vt:variant>
      <vt:variant>
        <vt:i4>1179708</vt:i4>
      </vt:variant>
      <vt:variant>
        <vt:i4>32</vt:i4>
      </vt:variant>
      <vt:variant>
        <vt:i4>0</vt:i4>
      </vt:variant>
      <vt:variant>
        <vt:i4>5</vt:i4>
      </vt:variant>
      <vt:variant>
        <vt:lpwstr/>
      </vt:variant>
      <vt:variant>
        <vt:lpwstr>_Toc99634976</vt:lpwstr>
      </vt:variant>
      <vt:variant>
        <vt:i4>1114172</vt:i4>
      </vt:variant>
      <vt:variant>
        <vt:i4>26</vt:i4>
      </vt:variant>
      <vt:variant>
        <vt:i4>0</vt:i4>
      </vt:variant>
      <vt:variant>
        <vt:i4>5</vt:i4>
      </vt:variant>
      <vt:variant>
        <vt:lpwstr/>
      </vt:variant>
      <vt:variant>
        <vt:lpwstr>_Toc99634975</vt:lpwstr>
      </vt:variant>
      <vt:variant>
        <vt:i4>1048636</vt:i4>
      </vt:variant>
      <vt:variant>
        <vt:i4>20</vt:i4>
      </vt:variant>
      <vt:variant>
        <vt:i4>0</vt:i4>
      </vt:variant>
      <vt:variant>
        <vt:i4>5</vt:i4>
      </vt:variant>
      <vt:variant>
        <vt:lpwstr/>
      </vt:variant>
      <vt:variant>
        <vt:lpwstr>_Toc99634974</vt:lpwstr>
      </vt:variant>
      <vt:variant>
        <vt:i4>1507388</vt:i4>
      </vt:variant>
      <vt:variant>
        <vt:i4>14</vt:i4>
      </vt:variant>
      <vt:variant>
        <vt:i4>0</vt:i4>
      </vt:variant>
      <vt:variant>
        <vt:i4>5</vt:i4>
      </vt:variant>
      <vt:variant>
        <vt:lpwstr/>
      </vt:variant>
      <vt:variant>
        <vt:lpwstr>_Toc99634973</vt:lpwstr>
      </vt:variant>
      <vt:variant>
        <vt:i4>1441852</vt:i4>
      </vt:variant>
      <vt:variant>
        <vt:i4>8</vt:i4>
      </vt:variant>
      <vt:variant>
        <vt:i4>0</vt:i4>
      </vt:variant>
      <vt:variant>
        <vt:i4>5</vt:i4>
      </vt:variant>
      <vt:variant>
        <vt:lpwstr/>
      </vt:variant>
      <vt:variant>
        <vt:lpwstr>_Toc99634972</vt:lpwstr>
      </vt:variant>
      <vt:variant>
        <vt:i4>1376316</vt:i4>
      </vt:variant>
      <vt:variant>
        <vt:i4>2</vt:i4>
      </vt:variant>
      <vt:variant>
        <vt:i4>0</vt:i4>
      </vt:variant>
      <vt:variant>
        <vt:i4>5</vt:i4>
      </vt:variant>
      <vt:variant>
        <vt:lpwstr/>
      </vt:variant>
      <vt:variant>
        <vt:lpwstr>_Toc99634971</vt:lpwstr>
      </vt:variant>
      <vt:variant>
        <vt:i4>3539070</vt:i4>
      </vt:variant>
      <vt:variant>
        <vt:i4>0</vt:i4>
      </vt:variant>
      <vt:variant>
        <vt:i4>0</vt:i4>
      </vt:variant>
      <vt:variant>
        <vt:i4>5</vt:i4>
      </vt:variant>
      <vt:variant>
        <vt:lpwstr>https://www.maldon.gov.uk/info/7050/planning_policy/9810/infrastructure_delivery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dc:title>
  <dc:subject>2024/2025</dc:subject>
  <dc:creator>Anne Altoft-Shorland</dc:creator>
  <cp:keywords/>
  <dc:description/>
  <cp:lastModifiedBy>Anne Altoft-Shorland</cp:lastModifiedBy>
  <cp:revision>69</cp:revision>
  <dcterms:created xsi:type="dcterms:W3CDTF">2025-06-25T06:12:00Z</dcterms:created>
  <dcterms:modified xsi:type="dcterms:W3CDTF">2025-08-18T15:04:00Z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0x0101002B8042DB3DC72F4EBB8EE50700BEF9C7</vt:lpwstr>
  </property>
  <property fmtid="{D5CDD505-2E9C-101B-9397-08002B2CF9AE}" pid="3" name="MediaServiceImageTags">
    <vt:lpwstr/>
  </property>
</Properties>
</file>