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26BA6" w14:textId="54AE14AD" w:rsidR="003016BA" w:rsidRPr="00EC436D" w:rsidRDefault="003016BA" w:rsidP="003016BA">
      <w:pPr>
        <w:pStyle w:val="BodyText"/>
        <w:spacing w:after="160"/>
        <w:rPr>
          <w:rFonts w:ascii="Aptos" w:eastAsiaTheme="majorEastAsia" w:hAnsi="Aptos" w:cstheme="majorBidi"/>
          <w:b/>
          <w:spacing w:val="5"/>
          <w:kern w:val="28"/>
          <w:sz w:val="40"/>
          <w:szCs w:val="48"/>
          <w:lang w:val="en-GB"/>
        </w:rPr>
      </w:pPr>
      <w:r>
        <w:rPr>
          <w:rFonts w:ascii="Aptos" w:eastAsiaTheme="majorEastAsia" w:hAnsi="Aptos" w:cstheme="majorBidi"/>
          <w:b/>
          <w:bCs/>
          <w:spacing w:val="5"/>
          <w:kern w:val="28"/>
          <w:sz w:val="40"/>
          <w:szCs w:val="48"/>
          <w:lang w:val="en-GB"/>
        </w:rPr>
        <w:t>Headline evidence for public consultation</w:t>
      </w:r>
    </w:p>
    <w:p w14:paraId="2FE882E4" w14:textId="77777777" w:rsidR="003016BA" w:rsidRPr="00EC436D" w:rsidRDefault="003016BA" w:rsidP="003016BA">
      <w:pPr>
        <w:pStyle w:val="BodyText"/>
        <w:spacing w:after="160"/>
        <w:rPr>
          <w:rFonts w:ascii="Aptos" w:hAnsi="Aptos"/>
          <w:color w:val="666666"/>
        </w:rPr>
      </w:pPr>
      <w:r w:rsidRPr="00EC436D">
        <w:rPr>
          <w:rFonts w:ascii="Aptos" w:hAnsi="Aptos"/>
          <w:color w:val="666666"/>
        </w:rPr>
        <w:t>Maldon District Housing, Homelessness and Rough Sleeping Strategy 2026–2031</w:t>
      </w:r>
    </w:p>
    <w:p w14:paraId="08485843" w14:textId="77777777" w:rsidR="00271EAC" w:rsidRPr="00CE5B7E" w:rsidRDefault="00F1737C">
      <w:pPr>
        <w:pStyle w:val="Heading1"/>
        <w:rPr>
          <w:rFonts w:ascii="Aptos" w:hAnsi="Aptos"/>
        </w:rPr>
      </w:pPr>
      <w:r w:rsidRPr="00CE5B7E">
        <w:rPr>
          <w:rFonts w:ascii="Aptos" w:hAnsi="Aptos"/>
        </w:rPr>
        <w:t>About this evidence summary</w:t>
      </w:r>
    </w:p>
    <w:p w14:paraId="5A6EB5BD" w14:textId="77777777" w:rsidR="00271EAC" w:rsidRPr="00CE5B7E" w:rsidRDefault="00F1737C">
      <w:pPr>
        <w:rPr>
          <w:rFonts w:ascii="Aptos" w:hAnsi="Aptos"/>
        </w:rPr>
      </w:pPr>
      <w:r w:rsidRPr="00CE5B7E">
        <w:rPr>
          <w:rFonts w:ascii="Aptos" w:hAnsi="Aptos"/>
        </w:rPr>
        <w:t xml:space="preserve">This document </w:t>
      </w:r>
      <w:proofErr w:type="spellStart"/>
      <w:r w:rsidRPr="00CE5B7E">
        <w:rPr>
          <w:rFonts w:ascii="Aptos" w:hAnsi="Aptos"/>
        </w:rPr>
        <w:t>summarises</w:t>
      </w:r>
      <w:proofErr w:type="spellEnd"/>
      <w:r w:rsidRPr="00CE5B7E">
        <w:rPr>
          <w:rFonts w:ascii="Aptos" w:hAnsi="Aptos"/>
        </w:rPr>
        <w:t xml:space="preserve"> the headline evidence being used to develop Maldon District Council's Housing, Homelessness and Rough Sleeping Strategy. It is intended to help residents, partners and other interested people respond to the public consultation.</w:t>
      </w:r>
    </w:p>
    <w:p w14:paraId="643F04BA" w14:textId="77777777" w:rsidR="00271EAC" w:rsidRPr="00CE5B7E" w:rsidRDefault="00F1737C">
      <w:pPr>
        <w:rPr>
          <w:rFonts w:ascii="Aptos" w:hAnsi="Aptos"/>
        </w:rPr>
      </w:pPr>
      <w:r w:rsidRPr="00CE5B7E">
        <w:rPr>
          <w:rFonts w:ascii="Aptos" w:hAnsi="Aptos"/>
        </w:rPr>
        <w:t xml:space="preserve">It is not the Council's statutory Homelessness Review. The full review and detailed evidence base will support the final strategy and will contain fuller analysis of housing </w:t>
      </w:r>
      <w:proofErr w:type="gramStart"/>
      <w:r w:rsidRPr="00CE5B7E">
        <w:rPr>
          <w:rFonts w:ascii="Aptos" w:hAnsi="Aptos"/>
        </w:rPr>
        <w:t>need</w:t>
      </w:r>
      <w:proofErr w:type="gramEnd"/>
      <w:r w:rsidRPr="00CE5B7E">
        <w:rPr>
          <w:rFonts w:ascii="Aptos" w:hAnsi="Aptos"/>
        </w:rPr>
        <w:t>, homelessness, services, resources and future demand.</w:t>
      </w:r>
    </w:p>
    <w:p w14:paraId="60A53114" w14:textId="77777777" w:rsidR="00271EAC" w:rsidRPr="00CE5B7E" w:rsidRDefault="00F1737C">
      <w:pPr>
        <w:rPr>
          <w:rFonts w:ascii="Aptos" w:hAnsi="Aptos"/>
        </w:rPr>
      </w:pPr>
      <w:r w:rsidRPr="00CE5B7E">
        <w:rPr>
          <w:rFonts w:ascii="Aptos" w:hAnsi="Aptos"/>
        </w:rPr>
        <w:t>The figures in this summary come from national statistics, Council records and local studies. They use different dates and reporting bases. Projections are planning estimates rather than forecasts of exactly what will happen.</w:t>
      </w:r>
    </w:p>
    <w:p w14:paraId="3C58C07B" w14:textId="77777777" w:rsidR="00271EAC" w:rsidRPr="00CE5B7E" w:rsidRDefault="00F1737C">
      <w:pPr>
        <w:pStyle w:val="Heading2"/>
        <w:rPr>
          <w:rFonts w:ascii="Aptos" w:hAnsi="Aptos"/>
        </w:rPr>
      </w:pPr>
      <w:r w:rsidRPr="00CE5B7E">
        <w:rPr>
          <w:rFonts w:ascii="Aptos" w:hAnsi="Aptos"/>
        </w:rPr>
        <w:t>The central issue</w:t>
      </w:r>
    </w:p>
    <w:p w14:paraId="33DCFDF5" w14:textId="77777777" w:rsidR="00271EAC" w:rsidRPr="00CE5B7E" w:rsidRDefault="00F1737C">
      <w:pPr>
        <w:rPr>
          <w:rFonts w:ascii="Aptos" w:hAnsi="Aptos"/>
        </w:rPr>
      </w:pPr>
      <w:r w:rsidRPr="00CE5B7E">
        <w:rPr>
          <w:rFonts w:ascii="Aptos" w:hAnsi="Aptos"/>
        </w:rPr>
        <w:t>Housing and homelessness form part of the same system. Preventing homelessness depends, in large part, on whether people can find and retain a suitable and affordable home. Decisions about housing supply, tenure, standards and access directly affect homelessness and demand for local services.</w:t>
      </w:r>
    </w:p>
    <w:p w14:paraId="40078096" w14:textId="77777777" w:rsidR="00271EAC" w:rsidRPr="00CE5B7E" w:rsidRDefault="00F1737C">
      <w:pPr>
        <w:rPr>
          <w:rFonts w:ascii="Aptos" w:hAnsi="Aptos"/>
        </w:rPr>
      </w:pPr>
      <w:r w:rsidRPr="00CE5B7E">
        <w:rPr>
          <w:rFonts w:ascii="Aptos" w:hAnsi="Aptos"/>
        </w:rPr>
        <w:t>In Maldon, high house prices relative to local earnings, a comparatively limited supply of social rented housing and uneven access to services across more remote rural areas restrict the options available when a household's needs or circumstances change.</w:t>
      </w:r>
    </w:p>
    <w:p w14:paraId="22B0B918" w14:textId="77777777" w:rsidR="003C0496" w:rsidRDefault="00F1737C">
      <w:pPr>
        <w:rPr>
          <w:rFonts w:ascii="Aptos" w:hAnsi="Aptos"/>
        </w:rPr>
      </w:pPr>
      <w:r>
        <w:rPr>
          <w:rFonts w:ascii="Aptos" w:hAnsi="Aptos"/>
        </w:rPr>
        <w:t>Affordability is therefore a thread running through demand for homelessness services, the ability to prevent homelessness and the availability of settled move-on options.</w:t>
      </w:r>
    </w:p>
    <w:p w14:paraId="7ADCD97F" w14:textId="77777777" w:rsidR="00271EAC" w:rsidRPr="00CE5B7E" w:rsidRDefault="00F1737C">
      <w:pPr>
        <w:pStyle w:val="Heading2"/>
        <w:rPr>
          <w:rFonts w:ascii="Aptos" w:hAnsi="Aptos"/>
        </w:rPr>
      </w:pPr>
      <w:r w:rsidRPr="00CE5B7E">
        <w:rPr>
          <w:rFonts w:ascii="Aptos" w:hAnsi="Aptos"/>
        </w:rPr>
        <w:t xml:space="preserve">Maldon </w:t>
      </w:r>
      <w:proofErr w:type="gramStart"/>
      <w:r w:rsidRPr="00CE5B7E">
        <w:rPr>
          <w:rFonts w:ascii="Aptos" w:hAnsi="Aptos"/>
        </w:rPr>
        <w:t>at a glance</w:t>
      </w:r>
      <w:proofErr w:type="gramEnd"/>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81"/>
        <w:gridCol w:w="2494"/>
        <w:gridCol w:w="4536"/>
      </w:tblGrid>
      <w:tr w:rsidR="00271EAC" w:rsidRPr="00CE5B7E" w14:paraId="2CCC5172" w14:textId="77777777">
        <w:trPr>
          <w:tblHeader/>
          <w:jc w:val="center"/>
        </w:trPr>
        <w:tc>
          <w:tcPr>
            <w:tcW w:w="2381" w:type="dxa"/>
            <w:shd w:val="clear" w:color="auto" w:fill="1F4E79"/>
            <w:tcMar>
              <w:top w:w="120" w:type="dxa"/>
              <w:left w:w="120" w:type="dxa"/>
              <w:bottom w:w="120" w:type="dxa"/>
              <w:right w:w="120" w:type="dxa"/>
            </w:tcMar>
            <w:vAlign w:val="center"/>
          </w:tcPr>
          <w:p w14:paraId="0590E9A2" w14:textId="77777777" w:rsidR="00271EAC" w:rsidRPr="00CE5B7E" w:rsidRDefault="00F1737C">
            <w:pPr>
              <w:spacing w:after="0"/>
              <w:rPr>
                <w:rFonts w:ascii="Aptos" w:hAnsi="Aptos"/>
              </w:rPr>
            </w:pPr>
            <w:r w:rsidRPr="00CE5B7E">
              <w:rPr>
                <w:rFonts w:ascii="Aptos" w:hAnsi="Aptos"/>
                <w:b/>
                <w:color w:val="FFFFFF"/>
                <w:sz w:val="18"/>
              </w:rPr>
              <w:t>Indicator</w:t>
            </w:r>
          </w:p>
        </w:tc>
        <w:tc>
          <w:tcPr>
            <w:tcW w:w="2494" w:type="dxa"/>
            <w:shd w:val="clear" w:color="auto" w:fill="1F4E79"/>
            <w:tcMar>
              <w:top w:w="120" w:type="dxa"/>
              <w:left w:w="120" w:type="dxa"/>
              <w:bottom w:w="120" w:type="dxa"/>
              <w:right w:w="120" w:type="dxa"/>
            </w:tcMar>
            <w:vAlign w:val="center"/>
          </w:tcPr>
          <w:p w14:paraId="235F8F25" w14:textId="77777777" w:rsidR="00271EAC" w:rsidRPr="00CE5B7E" w:rsidRDefault="00F1737C">
            <w:pPr>
              <w:spacing w:after="0"/>
              <w:rPr>
                <w:rFonts w:ascii="Aptos" w:hAnsi="Aptos"/>
              </w:rPr>
            </w:pPr>
            <w:r w:rsidRPr="00CE5B7E">
              <w:rPr>
                <w:rFonts w:ascii="Aptos" w:hAnsi="Aptos"/>
                <w:b/>
                <w:color w:val="FFFFFF"/>
                <w:sz w:val="18"/>
              </w:rPr>
              <w:t>Latest position</w:t>
            </w:r>
          </w:p>
        </w:tc>
        <w:tc>
          <w:tcPr>
            <w:tcW w:w="4536" w:type="dxa"/>
            <w:shd w:val="clear" w:color="auto" w:fill="1F4E79"/>
            <w:tcMar>
              <w:top w:w="120" w:type="dxa"/>
              <w:left w:w="120" w:type="dxa"/>
              <w:bottom w:w="120" w:type="dxa"/>
              <w:right w:w="120" w:type="dxa"/>
            </w:tcMar>
            <w:vAlign w:val="center"/>
          </w:tcPr>
          <w:p w14:paraId="24034720" w14:textId="77777777" w:rsidR="00271EAC" w:rsidRPr="00CE5B7E" w:rsidRDefault="00F1737C">
            <w:pPr>
              <w:spacing w:after="0"/>
              <w:rPr>
                <w:rFonts w:ascii="Aptos" w:hAnsi="Aptos"/>
              </w:rPr>
            </w:pPr>
            <w:r w:rsidRPr="00CE5B7E">
              <w:rPr>
                <w:rFonts w:ascii="Aptos" w:hAnsi="Aptos"/>
                <w:b/>
                <w:color w:val="FFFFFF"/>
                <w:sz w:val="18"/>
              </w:rPr>
              <w:t>Why it matters</w:t>
            </w:r>
          </w:p>
        </w:tc>
      </w:tr>
      <w:tr w:rsidR="00271EAC" w:rsidRPr="00CE5B7E" w14:paraId="2EBFB616" w14:textId="77777777">
        <w:trPr>
          <w:jc w:val="center"/>
        </w:trPr>
        <w:tc>
          <w:tcPr>
            <w:tcW w:w="2381" w:type="dxa"/>
            <w:shd w:val="clear" w:color="auto" w:fill="FFFFFF"/>
            <w:tcMar>
              <w:top w:w="110" w:type="dxa"/>
              <w:left w:w="120" w:type="dxa"/>
              <w:bottom w:w="110" w:type="dxa"/>
              <w:right w:w="120" w:type="dxa"/>
            </w:tcMar>
            <w:vAlign w:val="center"/>
          </w:tcPr>
          <w:p w14:paraId="355D4C72" w14:textId="77777777" w:rsidR="00271EAC" w:rsidRPr="00CE5B7E" w:rsidRDefault="00F1737C">
            <w:pPr>
              <w:spacing w:after="0"/>
              <w:rPr>
                <w:rFonts w:ascii="Aptos" w:hAnsi="Aptos"/>
              </w:rPr>
            </w:pPr>
            <w:r w:rsidRPr="00CE5B7E">
              <w:rPr>
                <w:rFonts w:ascii="Aptos" w:hAnsi="Aptos"/>
                <w:sz w:val="18"/>
              </w:rPr>
              <w:t>Population</w:t>
            </w:r>
          </w:p>
        </w:tc>
        <w:tc>
          <w:tcPr>
            <w:tcW w:w="2494" w:type="dxa"/>
            <w:shd w:val="clear" w:color="auto" w:fill="FFFFFF"/>
            <w:tcMar>
              <w:top w:w="110" w:type="dxa"/>
              <w:left w:w="120" w:type="dxa"/>
              <w:bottom w:w="110" w:type="dxa"/>
              <w:right w:w="120" w:type="dxa"/>
            </w:tcMar>
            <w:vAlign w:val="center"/>
          </w:tcPr>
          <w:p w14:paraId="574A7692" w14:textId="77777777" w:rsidR="00271EAC" w:rsidRPr="00CE5B7E" w:rsidRDefault="00F1737C">
            <w:pPr>
              <w:spacing w:after="0"/>
              <w:rPr>
                <w:rFonts w:ascii="Aptos" w:hAnsi="Aptos"/>
              </w:rPr>
            </w:pPr>
            <w:r w:rsidRPr="00CE5B7E">
              <w:rPr>
                <w:rFonts w:ascii="Aptos" w:hAnsi="Aptos"/>
                <w:sz w:val="18"/>
              </w:rPr>
              <w:t>70,196 in 2025</w:t>
            </w:r>
          </w:p>
        </w:tc>
        <w:tc>
          <w:tcPr>
            <w:tcW w:w="4536" w:type="dxa"/>
            <w:shd w:val="clear" w:color="auto" w:fill="FFFFFF"/>
            <w:tcMar>
              <w:top w:w="110" w:type="dxa"/>
              <w:left w:w="120" w:type="dxa"/>
              <w:bottom w:w="110" w:type="dxa"/>
              <w:right w:w="120" w:type="dxa"/>
            </w:tcMar>
            <w:vAlign w:val="center"/>
          </w:tcPr>
          <w:p w14:paraId="5EB3B1FA" w14:textId="77777777" w:rsidR="00271EAC" w:rsidRPr="00CE5B7E" w:rsidRDefault="00F1737C">
            <w:pPr>
              <w:spacing w:after="0"/>
              <w:rPr>
                <w:rFonts w:ascii="Aptos" w:hAnsi="Aptos"/>
              </w:rPr>
            </w:pPr>
            <w:r w:rsidRPr="00CE5B7E">
              <w:rPr>
                <w:rFonts w:ascii="Aptos" w:hAnsi="Aptos"/>
                <w:sz w:val="18"/>
              </w:rPr>
              <w:t>A larger population increases overall housing demand</w:t>
            </w:r>
          </w:p>
        </w:tc>
      </w:tr>
      <w:tr w:rsidR="00271EAC" w:rsidRPr="00CE5B7E" w14:paraId="35A546F7" w14:textId="77777777">
        <w:trPr>
          <w:jc w:val="center"/>
        </w:trPr>
        <w:tc>
          <w:tcPr>
            <w:tcW w:w="2381" w:type="dxa"/>
            <w:shd w:val="clear" w:color="auto" w:fill="EEF4F8"/>
            <w:tcMar>
              <w:top w:w="110" w:type="dxa"/>
              <w:left w:w="120" w:type="dxa"/>
              <w:bottom w:w="110" w:type="dxa"/>
              <w:right w:w="120" w:type="dxa"/>
            </w:tcMar>
            <w:vAlign w:val="center"/>
          </w:tcPr>
          <w:p w14:paraId="0BB943E9" w14:textId="77777777" w:rsidR="00271EAC" w:rsidRPr="00CE5B7E" w:rsidRDefault="00F1737C">
            <w:pPr>
              <w:spacing w:after="0"/>
              <w:rPr>
                <w:rFonts w:ascii="Aptos" w:hAnsi="Aptos"/>
              </w:rPr>
            </w:pPr>
            <w:r w:rsidRPr="00CE5B7E">
              <w:rPr>
                <w:rFonts w:ascii="Aptos" w:hAnsi="Aptos"/>
                <w:sz w:val="18"/>
              </w:rPr>
              <w:t>Residents aged 65 or over</w:t>
            </w:r>
          </w:p>
        </w:tc>
        <w:tc>
          <w:tcPr>
            <w:tcW w:w="2494" w:type="dxa"/>
            <w:shd w:val="clear" w:color="auto" w:fill="EEF4F8"/>
            <w:tcMar>
              <w:top w:w="110" w:type="dxa"/>
              <w:left w:w="120" w:type="dxa"/>
              <w:bottom w:w="110" w:type="dxa"/>
              <w:right w:w="120" w:type="dxa"/>
            </w:tcMar>
            <w:vAlign w:val="center"/>
          </w:tcPr>
          <w:p w14:paraId="5D6EF3EC" w14:textId="77777777" w:rsidR="00271EAC" w:rsidRPr="00CE5B7E" w:rsidRDefault="00F1737C">
            <w:pPr>
              <w:spacing w:after="0"/>
              <w:rPr>
                <w:rFonts w:ascii="Aptos" w:hAnsi="Aptos"/>
              </w:rPr>
            </w:pPr>
            <w:r w:rsidRPr="00CE5B7E">
              <w:rPr>
                <w:rFonts w:ascii="Aptos" w:hAnsi="Aptos"/>
                <w:sz w:val="18"/>
              </w:rPr>
              <w:t>25.0% in 2021</w:t>
            </w:r>
          </w:p>
        </w:tc>
        <w:tc>
          <w:tcPr>
            <w:tcW w:w="4536" w:type="dxa"/>
            <w:shd w:val="clear" w:color="auto" w:fill="EEF4F8"/>
            <w:tcMar>
              <w:top w:w="110" w:type="dxa"/>
              <w:left w:w="120" w:type="dxa"/>
              <w:bottom w:w="110" w:type="dxa"/>
              <w:right w:w="120" w:type="dxa"/>
            </w:tcMar>
            <w:vAlign w:val="center"/>
          </w:tcPr>
          <w:p w14:paraId="04907A02" w14:textId="77777777" w:rsidR="00271EAC" w:rsidRPr="00CE5B7E" w:rsidRDefault="00F1737C">
            <w:pPr>
              <w:spacing w:after="0"/>
              <w:rPr>
                <w:rFonts w:ascii="Aptos" w:hAnsi="Aptos"/>
              </w:rPr>
            </w:pPr>
            <w:r w:rsidRPr="00CE5B7E">
              <w:rPr>
                <w:rFonts w:ascii="Aptos" w:hAnsi="Aptos"/>
                <w:sz w:val="18"/>
              </w:rPr>
              <w:t>Need for accessible homes adaptations and suitable downsizing options</w:t>
            </w:r>
          </w:p>
        </w:tc>
      </w:tr>
      <w:tr w:rsidR="00271EAC" w:rsidRPr="00CE5B7E" w14:paraId="4EA125CD" w14:textId="77777777">
        <w:trPr>
          <w:jc w:val="center"/>
        </w:trPr>
        <w:tc>
          <w:tcPr>
            <w:tcW w:w="2381" w:type="dxa"/>
            <w:shd w:val="clear" w:color="auto" w:fill="FFFFFF"/>
            <w:tcMar>
              <w:top w:w="110" w:type="dxa"/>
              <w:left w:w="120" w:type="dxa"/>
              <w:bottom w:w="110" w:type="dxa"/>
              <w:right w:w="120" w:type="dxa"/>
            </w:tcMar>
            <w:vAlign w:val="center"/>
          </w:tcPr>
          <w:p w14:paraId="20A039F7" w14:textId="77777777" w:rsidR="00271EAC" w:rsidRPr="00CE5B7E" w:rsidRDefault="00F1737C">
            <w:pPr>
              <w:spacing w:after="0"/>
              <w:rPr>
                <w:rFonts w:ascii="Aptos" w:hAnsi="Aptos"/>
              </w:rPr>
            </w:pPr>
            <w:r w:rsidRPr="00CE5B7E">
              <w:rPr>
                <w:rFonts w:ascii="Aptos" w:hAnsi="Aptos"/>
                <w:sz w:val="18"/>
              </w:rPr>
              <w:t>Median house price</w:t>
            </w:r>
          </w:p>
        </w:tc>
        <w:tc>
          <w:tcPr>
            <w:tcW w:w="2494" w:type="dxa"/>
            <w:shd w:val="clear" w:color="auto" w:fill="FFFFFF"/>
            <w:tcMar>
              <w:top w:w="110" w:type="dxa"/>
              <w:left w:w="120" w:type="dxa"/>
              <w:bottom w:w="110" w:type="dxa"/>
              <w:right w:w="120" w:type="dxa"/>
            </w:tcMar>
            <w:vAlign w:val="center"/>
          </w:tcPr>
          <w:p w14:paraId="3DDC701A" w14:textId="77777777" w:rsidR="00271EAC" w:rsidRPr="00CE5B7E" w:rsidRDefault="00F1737C">
            <w:pPr>
              <w:spacing w:after="0"/>
              <w:rPr>
                <w:rFonts w:ascii="Aptos" w:hAnsi="Aptos"/>
              </w:rPr>
            </w:pPr>
            <w:r w:rsidRPr="00CE5B7E">
              <w:rPr>
                <w:rFonts w:ascii="Aptos" w:hAnsi="Aptos"/>
                <w:sz w:val="18"/>
              </w:rPr>
              <w:t>£385,000 in the year to September 2025</w:t>
            </w:r>
          </w:p>
        </w:tc>
        <w:tc>
          <w:tcPr>
            <w:tcW w:w="4536" w:type="dxa"/>
            <w:shd w:val="clear" w:color="auto" w:fill="FFFFFF"/>
            <w:tcMar>
              <w:top w:w="110" w:type="dxa"/>
              <w:left w:w="120" w:type="dxa"/>
              <w:bottom w:w="110" w:type="dxa"/>
              <w:right w:w="120" w:type="dxa"/>
            </w:tcMar>
            <w:vAlign w:val="center"/>
          </w:tcPr>
          <w:p w14:paraId="4CC57833" w14:textId="77777777" w:rsidR="00271EAC" w:rsidRPr="00CE5B7E" w:rsidRDefault="00F1737C">
            <w:pPr>
              <w:spacing w:after="0"/>
              <w:rPr>
                <w:rFonts w:ascii="Aptos" w:hAnsi="Aptos"/>
              </w:rPr>
            </w:pPr>
            <w:r w:rsidRPr="00CE5B7E">
              <w:rPr>
                <w:rFonts w:ascii="Aptos" w:hAnsi="Aptos"/>
                <w:sz w:val="18"/>
              </w:rPr>
              <w:t>£85,000 above the England median</w:t>
            </w:r>
          </w:p>
        </w:tc>
      </w:tr>
      <w:tr w:rsidR="00271EAC" w:rsidRPr="00CE5B7E" w14:paraId="4204B174" w14:textId="77777777">
        <w:trPr>
          <w:jc w:val="center"/>
        </w:trPr>
        <w:tc>
          <w:tcPr>
            <w:tcW w:w="2381" w:type="dxa"/>
            <w:shd w:val="clear" w:color="auto" w:fill="EEF4F8"/>
            <w:tcMar>
              <w:top w:w="110" w:type="dxa"/>
              <w:left w:w="120" w:type="dxa"/>
              <w:bottom w:w="110" w:type="dxa"/>
              <w:right w:w="120" w:type="dxa"/>
            </w:tcMar>
            <w:vAlign w:val="center"/>
          </w:tcPr>
          <w:p w14:paraId="17340B2F" w14:textId="77777777" w:rsidR="00271EAC" w:rsidRPr="00CE5B7E" w:rsidRDefault="00F1737C">
            <w:pPr>
              <w:spacing w:after="0"/>
              <w:rPr>
                <w:rFonts w:ascii="Aptos" w:hAnsi="Aptos"/>
              </w:rPr>
            </w:pPr>
            <w:r w:rsidRPr="00CE5B7E">
              <w:rPr>
                <w:rFonts w:ascii="Aptos" w:hAnsi="Aptos"/>
                <w:sz w:val="18"/>
              </w:rPr>
              <w:t>Housing affordability</w:t>
            </w:r>
          </w:p>
        </w:tc>
        <w:tc>
          <w:tcPr>
            <w:tcW w:w="2494" w:type="dxa"/>
            <w:shd w:val="clear" w:color="auto" w:fill="EEF4F8"/>
            <w:tcMar>
              <w:top w:w="110" w:type="dxa"/>
              <w:left w:w="120" w:type="dxa"/>
              <w:bottom w:w="110" w:type="dxa"/>
              <w:right w:w="120" w:type="dxa"/>
            </w:tcMar>
            <w:vAlign w:val="center"/>
          </w:tcPr>
          <w:p w14:paraId="429DB828" w14:textId="77777777" w:rsidR="00271EAC" w:rsidRPr="00CE5B7E" w:rsidRDefault="00F1737C">
            <w:pPr>
              <w:spacing w:after="0"/>
              <w:rPr>
                <w:rFonts w:ascii="Aptos" w:hAnsi="Aptos"/>
              </w:rPr>
            </w:pPr>
            <w:r w:rsidRPr="00CE5B7E">
              <w:rPr>
                <w:rFonts w:ascii="Aptos" w:hAnsi="Aptos"/>
                <w:sz w:val="18"/>
              </w:rPr>
              <w:t>11.05 times median earnings</w:t>
            </w:r>
          </w:p>
        </w:tc>
        <w:tc>
          <w:tcPr>
            <w:tcW w:w="4536" w:type="dxa"/>
            <w:shd w:val="clear" w:color="auto" w:fill="EEF4F8"/>
            <w:tcMar>
              <w:top w:w="110" w:type="dxa"/>
              <w:left w:w="120" w:type="dxa"/>
              <w:bottom w:w="110" w:type="dxa"/>
              <w:right w:w="120" w:type="dxa"/>
            </w:tcMar>
            <w:vAlign w:val="center"/>
          </w:tcPr>
          <w:p w14:paraId="37AEA535" w14:textId="77777777" w:rsidR="00271EAC" w:rsidRPr="00CE5B7E" w:rsidRDefault="00F1737C">
            <w:pPr>
              <w:spacing w:after="0"/>
              <w:rPr>
                <w:rFonts w:ascii="Aptos" w:hAnsi="Aptos"/>
              </w:rPr>
            </w:pPr>
            <w:r w:rsidRPr="00CE5B7E">
              <w:rPr>
                <w:rFonts w:ascii="Aptos" w:hAnsi="Aptos"/>
                <w:sz w:val="18"/>
              </w:rPr>
              <w:t xml:space="preserve">Buying is beyond the </w:t>
            </w:r>
            <w:proofErr w:type="gramStart"/>
            <w:r w:rsidRPr="00CE5B7E">
              <w:rPr>
                <w:rFonts w:ascii="Aptos" w:hAnsi="Aptos"/>
                <w:sz w:val="18"/>
              </w:rPr>
              <w:t>short term</w:t>
            </w:r>
            <w:proofErr w:type="gramEnd"/>
            <w:r w:rsidRPr="00CE5B7E">
              <w:rPr>
                <w:rFonts w:ascii="Aptos" w:hAnsi="Aptos"/>
                <w:sz w:val="18"/>
              </w:rPr>
              <w:t xml:space="preserve"> reach of many households on local wages</w:t>
            </w:r>
          </w:p>
        </w:tc>
      </w:tr>
      <w:tr w:rsidR="00271EAC" w:rsidRPr="00CE5B7E" w14:paraId="0FA80FE6" w14:textId="77777777">
        <w:trPr>
          <w:jc w:val="center"/>
        </w:trPr>
        <w:tc>
          <w:tcPr>
            <w:tcW w:w="2381" w:type="dxa"/>
            <w:shd w:val="clear" w:color="auto" w:fill="FFFFFF"/>
            <w:tcMar>
              <w:top w:w="110" w:type="dxa"/>
              <w:left w:w="120" w:type="dxa"/>
              <w:bottom w:w="110" w:type="dxa"/>
              <w:right w:w="120" w:type="dxa"/>
            </w:tcMar>
            <w:vAlign w:val="center"/>
          </w:tcPr>
          <w:p w14:paraId="491888C1" w14:textId="77777777" w:rsidR="00271EAC" w:rsidRPr="00CE5B7E" w:rsidRDefault="00F1737C">
            <w:pPr>
              <w:spacing w:after="0"/>
              <w:rPr>
                <w:rFonts w:ascii="Aptos" w:hAnsi="Aptos"/>
              </w:rPr>
            </w:pPr>
            <w:r w:rsidRPr="00CE5B7E">
              <w:rPr>
                <w:rFonts w:ascii="Aptos" w:hAnsi="Aptos"/>
                <w:sz w:val="18"/>
              </w:rPr>
              <w:t>Initial homelessness assessments</w:t>
            </w:r>
          </w:p>
        </w:tc>
        <w:tc>
          <w:tcPr>
            <w:tcW w:w="2494" w:type="dxa"/>
            <w:shd w:val="clear" w:color="auto" w:fill="FFFFFF"/>
            <w:tcMar>
              <w:top w:w="110" w:type="dxa"/>
              <w:left w:w="120" w:type="dxa"/>
              <w:bottom w:w="110" w:type="dxa"/>
              <w:right w:w="120" w:type="dxa"/>
            </w:tcMar>
            <w:vAlign w:val="center"/>
          </w:tcPr>
          <w:p w14:paraId="4D43373E" w14:textId="77777777" w:rsidR="00271EAC" w:rsidRPr="00CE5B7E" w:rsidRDefault="00F1737C">
            <w:pPr>
              <w:spacing w:after="0"/>
              <w:rPr>
                <w:rFonts w:ascii="Aptos" w:hAnsi="Aptos"/>
              </w:rPr>
            </w:pPr>
            <w:r w:rsidRPr="00CE5B7E">
              <w:rPr>
                <w:rFonts w:ascii="Aptos" w:hAnsi="Aptos"/>
                <w:sz w:val="18"/>
              </w:rPr>
              <w:t>250 in 2025/26</w:t>
            </w:r>
          </w:p>
        </w:tc>
        <w:tc>
          <w:tcPr>
            <w:tcW w:w="4536" w:type="dxa"/>
            <w:shd w:val="clear" w:color="auto" w:fill="FFFFFF"/>
            <w:tcMar>
              <w:top w:w="110" w:type="dxa"/>
              <w:left w:w="120" w:type="dxa"/>
              <w:bottom w:w="110" w:type="dxa"/>
              <w:right w:w="120" w:type="dxa"/>
            </w:tcMar>
            <w:vAlign w:val="center"/>
          </w:tcPr>
          <w:p w14:paraId="26AB2B47" w14:textId="77777777" w:rsidR="00271EAC" w:rsidRPr="00CE5B7E" w:rsidRDefault="00F1737C">
            <w:pPr>
              <w:spacing w:after="0"/>
              <w:rPr>
                <w:rFonts w:ascii="Aptos" w:hAnsi="Aptos"/>
              </w:rPr>
            </w:pPr>
            <w:r w:rsidRPr="00CE5B7E">
              <w:rPr>
                <w:rFonts w:ascii="Aptos" w:hAnsi="Aptos"/>
                <w:sz w:val="18"/>
              </w:rPr>
              <w:t xml:space="preserve">The highest number in the </w:t>
            </w:r>
            <w:proofErr w:type="gramStart"/>
            <w:r w:rsidRPr="00CE5B7E">
              <w:rPr>
                <w:rFonts w:ascii="Aptos" w:hAnsi="Aptos"/>
                <w:sz w:val="18"/>
              </w:rPr>
              <w:t>six year</w:t>
            </w:r>
            <w:proofErr w:type="gramEnd"/>
            <w:r w:rsidRPr="00CE5B7E">
              <w:rPr>
                <w:rFonts w:ascii="Aptos" w:hAnsi="Aptos"/>
                <w:sz w:val="18"/>
              </w:rPr>
              <w:t xml:space="preserve"> series</w:t>
            </w:r>
          </w:p>
        </w:tc>
      </w:tr>
      <w:tr w:rsidR="00271EAC" w:rsidRPr="00CE5B7E" w14:paraId="3A89D83A" w14:textId="77777777">
        <w:trPr>
          <w:jc w:val="center"/>
        </w:trPr>
        <w:tc>
          <w:tcPr>
            <w:tcW w:w="2381" w:type="dxa"/>
            <w:shd w:val="clear" w:color="auto" w:fill="EEF4F8"/>
            <w:tcMar>
              <w:top w:w="110" w:type="dxa"/>
              <w:left w:w="120" w:type="dxa"/>
              <w:bottom w:w="110" w:type="dxa"/>
              <w:right w:w="120" w:type="dxa"/>
            </w:tcMar>
            <w:vAlign w:val="center"/>
          </w:tcPr>
          <w:p w14:paraId="3D769A82" w14:textId="77777777" w:rsidR="00271EAC" w:rsidRPr="00CE5B7E" w:rsidRDefault="00F1737C">
            <w:pPr>
              <w:spacing w:after="0"/>
              <w:rPr>
                <w:rFonts w:ascii="Aptos" w:hAnsi="Aptos"/>
              </w:rPr>
            </w:pPr>
            <w:r w:rsidRPr="00CE5B7E">
              <w:rPr>
                <w:rFonts w:ascii="Aptos" w:hAnsi="Aptos"/>
                <w:sz w:val="18"/>
              </w:rPr>
              <w:t>Temporary accommodation</w:t>
            </w:r>
          </w:p>
        </w:tc>
        <w:tc>
          <w:tcPr>
            <w:tcW w:w="2494" w:type="dxa"/>
            <w:shd w:val="clear" w:color="auto" w:fill="EEF4F8"/>
            <w:tcMar>
              <w:top w:w="110" w:type="dxa"/>
              <w:left w:w="120" w:type="dxa"/>
              <w:bottom w:w="110" w:type="dxa"/>
              <w:right w:w="120" w:type="dxa"/>
            </w:tcMar>
            <w:vAlign w:val="center"/>
          </w:tcPr>
          <w:p w14:paraId="0A1250A9" w14:textId="77777777" w:rsidR="00271EAC" w:rsidRPr="00CE5B7E" w:rsidRDefault="00F1737C">
            <w:pPr>
              <w:spacing w:after="0"/>
              <w:rPr>
                <w:rFonts w:ascii="Aptos" w:hAnsi="Aptos"/>
              </w:rPr>
            </w:pPr>
            <w:r w:rsidRPr="00CE5B7E">
              <w:rPr>
                <w:rFonts w:ascii="Aptos" w:hAnsi="Aptos"/>
                <w:sz w:val="18"/>
              </w:rPr>
              <w:t xml:space="preserve">41 households </w:t>
            </w:r>
            <w:proofErr w:type="gramStart"/>
            <w:r w:rsidRPr="00CE5B7E">
              <w:rPr>
                <w:rFonts w:ascii="Aptos" w:hAnsi="Aptos"/>
                <w:sz w:val="18"/>
              </w:rPr>
              <w:t>at</w:t>
            </w:r>
            <w:proofErr w:type="gramEnd"/>
            <w:r w:rsidRPr="00CE5B7E">
              <w:rPr>
                <w:rFonts w:ascii="Aptos" w:hAnsi="Aptos"/>
                <w:sz w:val="18"/>
              </w:rPr>
              <w:t xml:space="preserve"> 31 March 2026</w:t>
            </w:r>
          </w:p>
        </w:tc>
        <w:tc>
          <w:tcPr>
            <w:tcW w:w="4536" w:type="dxa"/>
            <w:shd w:val="clear" w:color="auto" w:fill="EEF4F8"/>
            <w:tcMar>
              <w:top w:w="110" w:type="dxa"/>
              <w:left w:w="120" w:type="dxa"/>
              <w:bottom w:w="110" w:type="dxa"/>
              <w:right w:w="120" w:type="dxa"/>
            </w:tcMar>
            <w:vAlign w:val="center"/>
          </w:tcPr>
          <w:p w14:paraId="7BAD184A" w14:textId="07FABAFA" w:rsidR="00271EAC" w:rsidRPr="00CE5B7E" w:rsidRDefault="00F1737C">
            <w:pPr>
              <w:spacing w:after="0"/>
              <w:rPr>
                <w:rFonts w:ascii="Aptos" w:hAnsi="Aptos"/>
              </w:rPr>
            </w:pPr>
            <w:r>
              <w:rPr>
                <w:rFonts w:ascii="Aptos" w:hAnsi="Aptos"/>
                <w:sz w:val="18"/>
              </w:rPr>
              <w:t>More than half were placed outside the district, potentially disrupting access to local services and support networks</w:t>
            </w:r>
          </w:p>
        </w:tc>
      </w:tr>
    </w:tbl>
    <w:p w14:paraId="553900F6" w14:textId="77777777" w:rsidR="00271EAC" w:rsidRPr="00CE5B7E" w:rsidRDefault="00271EAC">
      <w:pPr>
        <w:spacing w:after="0"/>
        <w:rPr>
          <w:rFonts w:ascii="Aptos" w:hAnsi="Aptos"/>
        </w:rPr>
      </w:pPr>
    </w:p>
    <w:p w14:paraId="06E6B9AF" w14:textId="77777777" w:rsidR="00271EAC" w:rsidRPr="00CE5B7E" w:rsidRDefault="00F1737C">
      <w:pPr>
        <w:pStyle w:val="Sourcenote"/>
        <w:rPr>
          <w:rFonts w:ascii="Aptos" w:hAnsi="Aptos"/>
        </w:rPr>
      </w:pPr>
      <w:r w:rsidRPr="00CE5B7E">
        <w:rPr>
          <w:rFonts w:ascii="Aptos" w:hAnsi="Aptos"/>
        </w:rPr>
        <w:t>Sources: ONS, MHCLG and Maldon District Council records. Dates vary by indicator and are shown throughout this summary.</w:t>
      </w:r>
    </w:p>
    <w:p w14:paraId="5C6E19A8" w14:textId="77777777" w:rsidR="00271EAC" w:rsidRPr="00CE5B7E" w:rsidRDefault="00F1737C">
      <w:pPr>
        <w:pStyle w:val="Heading1"/>
        <w:rPr>
          <w:rFonts w:ascii="Aptos" w:hAnsi="Aptos"/>
        </w:rPr>
      </w:pPr>
      <w:r w:rsidRPr="00CE5B7E">
        <w:rPr>
          <w:rFonts w:ascii="Aptos" w:hAnsi="Aptos"/>
        </w:rPr>
        <w:lastRenderedPageBreak/>
        <w:t>A growing and ageing district</w:t>
      </w:r>
    </w:p>
    <w:p w14:paraId="06DB2CE2" w14:textId="77777777" w:rsidR="00271EAC" w:rsidRPr="00CE5B7E" w:rsidRDefault="00F1737C">
      <w:pPr>
        <w:rPr>
          <w:rFonts w:ascii="Aptos" w:hAnsi="Aptos"/>
        </w:rPr>
      </w:pPr>
      <w:r w:rsidRPr="00CE5B7E">
        <w:rPr>
          <w:rFonts w:ascii="Aptos" w:hAnsi="Aptos"/>
        </w:rPr>
        <w:t xml:space="preserve">Maldon is a geographically large, mainly rural district. Maldon, Heybridge and Burnham-on-Crouch are the main centres, while many residents live in smaller communities where public transport and access to services are more limited. A home that is affordable on paper may not be suitable for someone who needs regular care, cannot drive or </w:t>
      </w:r>
      <w:proofErr w:type="gramStart"/>
      <w:r w:rsidRPr="00CE5B7E">
        <w:rPr>
          <w:rFonts w:ascii="Aptos" w:hAnsi="Aptos"/>
        </w:rPr>
        <w:t>relies</w:t>
      </w:r>
      <w:proofErr w:type="gramEnd"/>
      <w:r w:rsidRPr="00CE5B7E">
        <w:rPr>
          <w:rFonts w:ascii="Aptos" w:hAnsi="Aptos"/>
        </w:rPr>
        <w:t xml:space="preserve"> on a local support network.</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628"/>
        <w:gridCol w:w="2891"/>
        <w:gridCol w:w="2891"/>
      </w:tblGrid>
      <w:tr w:rsidR="00271EAC" w:rsidRPr="00CE5B7E" w14:paraId="156BC185" w14:textId="77777777">
        <w:trPr>
          <w:tblHeader/>
          <w:jc w:val="center"/>
        </w:trPr>
        <w:tc>
          <w:tcPr>
            <w:tcW w:w="3628" w:type="dxa"/>
            <w:shd w:val="clear" w:color="auto" w:fill="1F4E79"/>
            <w:tcMar>
              <w:top w:w="120" w:type="dxa"/>
              <w:left w:w="120" w:type="dxa"/>
              <w:bottom w:w="120" w:type="dxa"/>
              <w:right w:w="120" w:type="dxa"/>
            </w:tcMar>
            <w:vAlign w:val="center"/>
          </w:tcPr>
          <w:p w14:paraId="21558E54" w14:textId="77777777" w:rsidR="00271EAC" w:rsidRPr="00CE5B7E" w:rsidRDefault="00F1737C">
            <w:pPr>
              <w:spacing w:after="0"/>
              <w:rPr>
                <w:rFonts w:ascii="Aptos" w:hAnsi="Aptos"/>
              </w:rPr>
            </w:pPr>
            <w:r w:rsidRPr="00CE5B7E">
              <w:rPr>
                <w:rFonts w:ascii="Aptos" w:hAnsi="Aptos"/>
                <w:b/>
                <w:color w:val="FFFFFF"/>
                <w:sz w:val="18"/>
              </w:rPr>
              <w:t>Indicator</w:t>
            </w:r>
          </w:p>
        </w:tc>
        <w:tc>
          <w:tcPr>
            <w:tcW w:w="2891" w:type="dxa"/>
            <w:shd w:val="clear" w:color="auto" w:fill="1F4E79"/>
            <w:tcMar>
              <w:top w:w="120" w:type="dxa"/>
              <w:left w:w="120" w:type="dxa"/>
              <w:bottom w:w="120" w:type="dxa"/>
              <w:right w:w="120" w:type="dxa"/>
            </w:tcMar>
            <w:vAlign w:val="center"/>
          </w:tcPr>
          <w:p w14:paraId="6A41F724" w14:textId="77777777" w:rsidR="00271EAC" w:rsidRPr="00CE5B7E" w:rsidRDefault="00F1737C">
            <w:pPr>
              <w:spacing w:after="0"/>
              <w:jc w:val="center"/>
              <w:rPr>
                <w:rFonts w:ascii="Aptos" w:hAnsi="Aptos"/>
              </w:rPr>
            </w:pPr>
            <w:r w:rsidRPr="00CE5B7E">
              <w:rPr>
                <w:rFonts w:ascii="Aptos" w:hAnsi="Aptos"/>
                <w:b/>
                <w:color w:val="FFFFFF"/>
                <w:sz w:val="18"/>
              </w:rPr>
              <w:t>Current position</w:t>
            </w:r>
          </w:p>
        </w:tc>
        <w:tc>
          <w:tcPr>
            <w:tcW w:w="2891" w:type="dxa"/>
            <w:shd w:val="clear" w:color="auto" w:fill="1F4E79"/>
            <w:tcMar>
              <w:top w:w="120" w:type="dxa"/>
              <w:left w:w="120" w:type="dxa"/>
              <w:bottom w:w="120" w:type="dxa"/>
              <w:right w:w="120" w:type="dxa"/>
            </w:tcMar>
            <w:vAlign w:val="center"/>
          </w:tcPr>
          <w:p w14:paraId="7FB31CFB" w14:textId="77777777" w:rsidR="00271EAC" w:rsidRPr="00CE5B7E" w:rsidRDefault="00F1737C">
            <w:pPr>
              <w:spacing w:after="0"/>
              <w:jc w:val="center"/>
              <w:rPr>
                <w:rFonts w:ascii="Aptos" w:hAnsi="Aptos"/>
              </w:rPr>
            </w:pPr>
            <w:r w:rsidRPr="00CE5B7E">
              <w:rPr>
                <w:rFonts w:ascii="Aptos" w:hAnsi="Aptos"/>
                <w:b/>
                <w:color w:val="FFFFFF"/>
                <w:sz w:val="18"/>
              </w:rPr>
              <w:t>Projected position in 2036</w:t>
            </w:r>
          </w:p>
        </w:tc>
      </w:tr>
      <w:tr w:rsidR="00271EAC" w:rsidRPr="00CE5B7E" w14:paraId="6FDAD82E" w14:textId="77777777">
        <w:trPr>
          <w:jc w:val="center"/>
        </w:trPr>
        <w:tc>
          <w:tcPr>
            <w:tcW w:w="3628" w:type="dxa"/>
            <w:shd w:val="clear" w:color="auto" w:fill="FFFFFF"/>
            <w:tcMar>
              <w:top w:w="110" w:type="dxa"/>
              <w:left w:w="120" w:type="dxa"/>
              <w:bottom w:w="110" w:type="dxa"/>
              <w:right w:w="120" w:type="dxa"/>
            </w:tcMar>
            <w:vAlign w:val="center"/>
          </w:tcPr>
          <w:p w14:paraId="61EBDA5D" w14:textId="77777777" w:rsidR="00271EAC" w:rsidRPr="00CE5B7E" w:rsidRDefault="00F1737C">
            <w:pPr>
              <w:spacing w:after="0"/>
              <w:rPr>
                <w:rFonts w:ascii="Aptos" w:hAnsi="Aptos"/>
              </w:rPr>
            </w:pPr>
            <w:r w:rsidRPr="00CE5B7E">
              <w:rPr>
                <w:rFonts w:ascii="Aptos" w:hAnsi="Aptos"/>
                <w:sz w:val="18"/>
              </w:rPr>
              <w:t>Resident population</w:t>
            </w:r>
          </w:p>
        </w:tc>
        <w:tc>
          <w:tcPr>
            <w:tcW w:w="2891" w:type="dxa"/>
            <w:shd w:val="clear" w:color="auto" w:fill="FFFFFF"/>
            <w:tcMar>
              <w:top w:w="110" w:type="dxa"/>
              <w:left w:w="120" w:type="dxa"/>
              <w:bottom w:w="110" w:type="dxa"/>
              <w:right w:w="120" w:type="dxa"/>
            </w:tcMar>
            <w:vAlign w:val="center"/>
          </w:tcPr>
          <w:p w14:paraId="302513D4" w14:textId="77777777" w:rsidR="00271EAC" w:rsidRPr="00CE5B7E" w:rsidRDefault="00F1737C">
            <w:pPr>
              <w:spacing w:after="0"/>
              <w:jc w:val="center"/>
              <w:rPr>
                <w:rFonts w:ascii="Aptos" w:hAnsi="Aptos"/>
              </w:rPr>
            </w:pPr>
            <w:r w:rsidRPr="00CE5B7E">
              <w:rPr>
                <w:rFonts w:ascii="Aptos" w:hAnsi="Aptos"/>
                <w:sz w:val="18"/>
              </w:rPr>
              <w:t>70,196 in 2025</w:t>
            </w:r>
          </w:p>
        </w:tc>
        <w:tc>
          <w:tcPr>
            <w:tcW w:w="2891" w:type="dxa"/>
            <w:shd w:val="clear" w:color="auto" w:fill="FFFFFF"/>
            <w:tcMar>
              <w:top w:w="110" w:type="dxa"/>
              <w:left w:w="120" w:type="dxa"/>
              <w:bottom w:w="110" w:type="dxa"/>
              <w:right w:w="120" w:type="dxa"/>
            </w:tcMar>
            <w:vAlign w:val="center"/>
          </w:tcPr>
          <w:p w14:paraId="19767107" w14:textId="77777777" w:rsidR="00271EAC" w:rsidRPr="00CE5B7E" w:rsidRDefault="00F1737C">
            <w:pPr>
              <w:spacing w:after="0"/>
              <w:jc w:val="center"/>
              <w:rPr>
                <w:rFonts w:ascii="Aptos" w:hAnsi="Aptos"/>
              </w:rPr>
            </w:pPr>
            <w:r w:rsidRPr="00CE5B7E">
              <w:rPr>
                <w:rFonts w:ascii="Aptos" w:hAnsi="Aptos"/>
                <w:sz w:val="18"/>
              </w:rPr>
              <w:t>76,019</w:t>
            </w:r>
          </w:p>
        </w:tc>
      </w:tr>
      <w:tr w:rsidR="00271EAC" w:rsidRPr="00CE5B7E" w14:paraId="5F7676CD" w14:textId="77777777">
        <w:trPr>
          <w:jc w:val="center"/>
        </w:trPr>
        <w:tc>
          <w:tcPr>
            <w:tcW w:w="3628" w:type="dxa"/>
            <w:shd w:val="clear" w:color="auto" w:fill="EEF4F8"/>
            <w:tcMar>
              <w:top w:w="110" w:type="dxa"/>
              <w:left w:w="120" w:type="dxa"/>
              <w:bottom w:w="110" w:type="dxa"/>
              <w:right w:w="120" w:type="dxa"/>
            </w:tcMar>
            <w:vAlign w:val="center"/>
          </w:tcPr>
          <w:p w14:paraId="39A45738" w14:textId="77777777" w:rsidR="00271EAC" w:rsidRPr="00CE5B7E" w:rsidRDefault="00F1737C">
            <w:pPr>
              <w:spacing w:after="0"/>
              <w:rPr>
                <w:rFonts w:ascii="Aptos" w:hAnsi="Aptos"/>
              </w:rPr>
            </w:pPr>
            <w:r w:rsidRPr="00CE5B7E">
              <w:rPr>
                <w:rFonts w:ascii="Aptos" w:hAnsi="Aptos"/>
                <w:sz w:val="18"/>
              </w:rPr>
              <w:t>Households</w:t>
            </w:r>
          </w:p>
        </w:tc>
        <w:tc>
          <w:tcPr>
            <w:tcW w:w="2891" w:type="dxa"/>
            <w:shd w:val="clear" w:color="auto" w:fill="EEF4F8"/>
            <w:tcMar>
              <w:top w:w="110" w:type="dxa"/>
              <w:left w:w="120" w:type="dxa"/>
              <w:bottom w:w="110" w:type="dxa"/>
              <w:right w:w="120" w:type="dxa"/>
            </w:tcMar>
            <w:vAlign w:val="center"/>
          </w:tcPr>
          <w:p w14:paraId="70B2D895" w14:textId="77777777" w:rsidR="00271EAC" w:rsidRPr="00CE5B7E" w:rsidRDefault="00F1737C">
            <w:pPr>
              <w:spacing w:after="0"/>
              <w:jc w:val="center"/>
              <w:rPr>
                <w:rFonts w:ascii="Aptos" w:hAnsi="Aptos"/>
              </w:rPr>
            </w:pPr>
            <w:r w:rsidRPr="00CE5B7E">
              <w:rPr>
                <w:rFonts w:ascii="Aptos" w:hAnsi="Aptos"/>
                <w:sz w:val="18"/>
              </w:rPr>
              <w:t>27,900 in 2021</w:t>
            </w:r>
          </w:p>
        </w:tc>
        <w:tc>
          <w:tcPr>
            <w:tcW w:w="2891" w:type="dxa"/>
            <w:shd w:val="clear" w:color="auto" w:fill="EEF4F8"/>
            <w:tcMar>
              <w:top w:w="110" w:type="dxa"/>
              <w:left w:w="120" w:type="dxa"/>
              <w:bottom w:w="110" w:type="dxa"/>
              <w:right w:w="120" w:type="dxa"/>
            </w:tcMar>
            <w:vAlign w:val="center"/>
          </w:tcPr>
          <w:p w14:paraId="182BB2C9" w14:textId="77777777" w:rsidR="00271EAC" w:rsidRPr="00CE5B7E" w:rsidRDefault="00F1737C">
            <w:pPr>
              <w:spacing w:after="0"/>
              <w:jc w:val="center"/>
              <w:rPr>
                <w:rFonts w:ascii="Aptos" w:hAnsi="Aptos"/>
              </w:rPr>
            </w:pPr>
            <w:r w:rsidRPr="00CE5B7E">
              <w:rPr>
                <w:rFonts w:ascii="Aptos" w:hAnsi="Aptos"/>
                <w:sz w:val="18"/>
              </w:rPr>
              <w:t>33,360</w:t>
            </w:r>
          </w:p>
        </w:tc>
      </w:tr>
      <w:tr w:rsidR="00271EAC" w:rsidRPr="00CE5B7E" w14:paraId="7BC71B56" w14:textId="77777777">
        <w:trPr>
          <w:jc w:val="center"/>
        </w:trPr>
        <w:tc>
          <w:tcPr>
            <w:tcW w:w="3628" w:type="dxa"/>
            <w:shd w:val="clear" w:color="auto" w:fill="FFFFFF"/>
            <w:tcMar>
              <w:top w:w="110" w:type="dxa"/>
              <w:left w:w="120" w:type="dxa"/>
              <w:bottom w:w="110" w:type="dxa"/>
              <w:right w:w="120" w:type="dxa"/>
            </w:tcMar>
            <w:vAlign w:val="center"/>
          </w:tcPr>
          <w:p w14:paraId="5EB86FA3" w14:textId="77777777" w:rsidR="00271EAC" w:rsidRPr="00CE5B7E" w:rsidRDefault="00F1737C">
            <w:pPr>
              <w:spacing w:after="0"/>
              <w:rPr>
                <w:rFonts w:ascii="Aptos" w:hAnsi="Aptos"/>
              </w:rPr>
            </w:pPr>
            <w:r w:rsidRPr="00CE5B7E">
              <w:rPr>
                <w:rFonts w:ascii="Aptos" w:hAnsi="Aptos"/>
                <w:sz w:val="18"/>
              </w:rPr>
              <w:t>Residents aged 65 or over</w:t>
            </w:r>
          </w:p>
        </w:tc>
        <w:tc>
          <w:tcPr>
            <w:tcW w:w="2891" w:type="dxa"/>
            <w:shd w:val="clear" w:color="auto" w:fill="FFFFFF"/>
            <w:tcMar>
              <w:top w:w="110" w:type="dxa"/>
              <w:left w:w="120" w:type="dxa"/>
              <w:bottom w:w="110" w:type="dxa"/>
              <w:right w:w="120" w:type="dxa"/>
            </w:tcMar>
            <w:vAlign w:val="center"/>
          </w:tcPr>
          <w:p w14:paraId="649F9FE5" w14:textId="77777777" w:rsidR="00271EAC" w:rsidRPr="00CE5B7E" w:rsidRDefault="00F1737C">
            <w:pPr>
              <w:spacing w:after="0"/>
              <w:jc w:val="center"/>
              <w:rPr>
                <w:rFonts w:ascii="Aptos" w:hAnsi="Aptos"/>
              </w:rPr>
            </w:pPr>
            <w:r w:rsidRPr="00CE5B7E">
              <w:rPr>
                <w:rFonts w:ascii="Aptos" w:hAnsi="Aptos"/>
                <w:sz w:val="18"/>
              </w:rPr>
              <w:t>25.0% in 2021</w:t>
            </w:r>
          </w:p>
        </w:tc>
        <w:tc>
          <w:tcPr>
            <w:tcW w:w="2891" w:type="dxa"/>
            <w:shd w:val="clear" w:color="auto" w:fill="FFFFFF"/>
            <w:tcMar>
              <w:top w:w="110" w:type="dxa"/>
              <w:left w:w="120" w:type="dxa"/>
              <w:bottom w:w="110" w:type="dxa"/>
              <w:right w:w="120" w:type="dxa"/>
            </w:tcMar>
            <w:vAlign w:val="center"/>
          </w:tcPr>
          <w:p w14:paraId="5AC612AB" w14:textId="77777777" w:rsidR="00271EAC" w:rsidRPr="00CE5B7E" w:rsidRDefault="00F1737C">
            <w:pPr>
              <w:spacing w:after="0"/>
              <w:jc w:val="center"/>
              <w:rPr>
                <w:rFonts w:ascii="Aptos" w:hAnsi="Aptos"/>
              </w:rPr>
            </w:pPr>
            <w:r w:rsidRPr="00CE5B7E">
              <w:rPr>
                <w:rFonts w:ascii="Aptos" w:hAnsi="Aptos"/>
                <w:sz w:val="18"/>
              </w:rPr>
              <w:t>29.5%</w:t>
            </w:r>
          </w:p>
        </w:tc>
      </w:tr>
      <w:tr w:rsidR="00271EAC" w:rsidRPr="00CE5B7E" w14:paraId="3AB9D371" w14:textId="77777777">
        <w:trPr>
          <w:jc w:val="center"/>
        </w:trPr>
        <w:tc>
          <w:tcPr>
            <w:tcW w:w="3628" w:type="dxa"/>
            <w:shd w:val="clear" w:color="auto" w:fill="EEF4F8"/>
            <w:tcMar>
              <w:top w:w="110" w:type="dxa"/>
              <w:left w:w="120" w:type="dxa"/>
              <w:bottom w:w="110" w:type="dxa"/>
              <w:right w:w="120" w:type="dxa"/>
            </w:tcMar>
            <w:vAlign w:val="center"/>
          </w:tcPr>
          <w:p w14:paraId="20709DB1" w14:textId="77777777" w:rsidR="00271EAC" w:rsidRPr="00CE5B7E" w:rsidRDefault="00F1737C">
            <w:pPr>
              <w:spacing w:after="0"/>
              <w:rPr>
                <w:rFonts w:ascii="Aptos" w:hAnsi="Aptos"/>
              </w:rPr>
            </w:pPr>
            <w:r w:rsidRPr="00CE5B7E">
              <w:rPr>
                <w:rFonts w:ascii="Aptos" w:hAnsi="Aptos"/>
                <w:sz w:val="18"/>
              </w:rPr>
              <w:t>Residents aged 75 or over</w:t>
            </w:r>
          </w:p>
        </w:tc>
        <w:tc>
          <w:tcPr>
            <w:tcW w:w="2891" w:type="dxa"/>
            <w:shd w:val="clear" w:color="auto" w:fill="EEF4F8"/>
            <w:tcMar>
              <w:top w:w="110" w:type="dxa"/>
              <w:left w:w="120" w:type="dxa"/>
              <w:bottom w:w="110" w:type="dxa"/>
              <w:right w:w="120" w:type="dxa"/>
            </w:tcMar>
            <w:vAlign w:val="center"/>
          </w:tcPr>
          <w:p w14:paraId="1B5E5510" w14:textId="77777777" w:rsidR="00271EAC" w:rsidRPr="00CE5B7E" w:rsidRDefault="00F1737C">
            <w:pPr>
              <w:spacing w:after="0"/>
              <w:jc w:val="center"/>
              <w:rPr>
                <w:rFonts w:ascii="Aptos" w:hAnsi="Aptos"/>
              </w:rPr>
            </w:pPr>
            <w:r w:rsidRPr="00CE5B7E">
              <w:rPr>
                <w:rFonts w:ascii="Aptos" w:hAnsi="Aptos"/>
                <w:sz w:val="18"/>
              </w:rPr>
              <w:t>11.6% in 2021</w:t>
            </w:r>
          </w:p>
        </w:tc>
        <w:tc>
          <w:tcPr>
            <w:tcW w:w="2891" w:type="dxa"/>
            <w:shd w:val="clear" w:color="auto" w:fill="EEF4F8"/>
            <w:tcMar>
              <w:top w:w="110" w:type="dxa"/>
              <w:left w:w="120" w:type="dxa"/>
              <w:bottom w:w="110" w:type="dxa"/>
              <w:right w:w="120" w:type="dxa"/>
            </w:tcMar>
            <w:vAlign w:val="center"/>
          </w:tcPr>
          <w:p w14:paraId="0CF1FE6A" w14:textId="77777777" w:rsidR="00271EAC" w:rsidRPr="00CE5B7E" w:rsidRDefault="00F1737C">
            <w:pPr>
              <w:spacing w:after="0"/>
              <w:jc w:val="center"/>
              <w:rPr>
                <w:rFonts w:ascii="Aptos" w:hAnsi="Aptos"/>
              </w:rPr>
            </w:pPr>
            <w:r w:rsidRPr="00CE5B7E">
              <w:rPr>
                <w:rFonts w:ascii="Aptos" w:hAnsi="Aptos"/>
                <w:sz w:val="18"/>
              </w:rPr>
              <w:t>15.2%</w:t>
            </w:r>
          </w:p>
        </w:tc>
      </w:tr>
    </w:tbl>
    <w:p w14:paraId="05F172F7" w14:textId="77777777" w:rsidR="00271EAC" w:rsidRPr="00CE5B7E" w:rsidRDefault="00271EAC">
      <w:pPr>
        <w:spacing w:after="0"/>
        <w:rPr>
          <w:rFonts w:ascii="Aptos" w:hAnsi="Aptos"/>
        </w:rPr>
      </w:pPr>
    </w:p>
    <w:p w14:paraId="1AD42A33" w14:textId="77777777" w:rsidR="00271EAC" w:rsidRPr="00CE5B7E" w:rsidRDefault="00F1737C">
      <w:pPr>
        <w:rPr>
          <w:rFonts w:ascii="Aptos" w:hAnsi="Aptos"/>
        </w:rPr>
      </w:pPr>
      <w:r w:rsidRPr="00CE5B7E">
        <w:rPr>
          <w:rFonts w:ascii="Aptos" w:hAnsi="Aptos"/>
        </w:rPr>
        <w:t>The population grew by 7.8% between 2020 and 2025, almost twice the 4.0% increase across England. Household numbers are projected to rise faster than the population, increasing by 19.6% between 2021 and 2036.</w:t>
      </w:r>
    </w:p>
    <w:p w14:paraId="5863B068" w14:textId="77777777" w:rsidR="00271EAC" w:rsidRPr="00CE5B7E" w:rsidRDefault="00F1737C">
      <w:pPr>
        <w:rPr>
          <w:rFonts w:ascii="Aptos" w:hAnsi="Aptos"/>
        </w:rPr>
      </w:pPr>
      <w:r w:rsidRPr="00CE5B7E">
        <w:rPr>
          <w:rFonts w:ascii="Aptos" w:hAnsi="Aptos"/>
        </w:rPr>
        <w:t>This changes the types of homes required. Maldon will need accessible mainstream housing, adaptations to existing homes, smaller homes that allow older residents to remain in their communities, and purpose-built housing for people who need care or support.</w:t>
      </w:r>
    </w:p>
    <w:p w14:paraId="0373635F" w14:textId="77777777" w:rsidR="00271EAC" w:rsidRPr="00CE5B7E" w:rsidRDefault="00F1737C">
      <w:pPr>
        <w:pStyle w:val="Heading2"/>
        <w:rPr>
          <w:rFonts w:ascii="Aptos" w:hAnsi="Aptos"/>
        </w:rPr>
      </w:pPr>
      <w:r w:rsidRPr="00CE5B7E">
        <w:rPr>
          <w:rFonts w:ascii="Aptos" w:hAnsi="Aptos"/>
        </w:rPr>
        <w:t>The homes people live in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536"/>
        <w:gridCol w:w="2438"/>
        <w:gridCol w:w="2438"/>
      </w:tblGrid>
      <w:tr w:rsidR="00271EAC" w:rsidRPr="00CE5B7E" w14:paraId="53CB48D3" w14:textId="77777777">
        <w:trPr>
          <w:tblHeader/>
          <w:jc w:val="center"/>
        </w:trPr>
        <w:tc>
          <w:tcPr>
            <w:tcW w:w="4536" w:type="dxa"/>
            <w:shd w:val="clear" w:color="auto" w:fill="1F4E79"/>
            <w:tcMar>
              <w:top w:w="120" w:type="dxa"/>
              <w:left w:w="120" w:type="dxa"/>
              <w:bottom w:w="120" w:type="dxa"/>
              <w:right w:w="120" w:type="dxa"/>
            </w:tcMar>
            <w:vAlign w:val="center"/>
          </w:tcPr>
          <w:p w14:paraId="7CB7E1F7" w14:textId="77777777" w:rsidR="00271EAC" w:rsidRPr="00CE5B7E" w:rsidRDefault="00F1737C">
            <w:pPr>
              <w:spacing w:after="0"/>
              <w:rPr>
                <w:rFonts w:ascii="Aptos" w:hAnsi="Aptos"/>
              </w:rPr>
            </w:pPr>
            <w:r w:rsidRPr="00CE5B7E">
              <w:rPr>
                <w:rFonts w:ascii="Aptos" w:hAnsi="Aptos"/>
                <w:b/>
                <w:color w:val="FFFFFF"/>
                <w:sz w:val="18"/>
              </w:rPr>
              <w:t>Tenure in 2021</w:t>
            </w:r>
          </w:p>
        </w:tc>
        <w:tc>
          <w:tcPr>
            <w:tcW w:w="2438" w:type="dxa"/>
            <w:shd w:val="clear" w:color="auto" w:fill="1F4E79"/>
            <w:tcMar>
              <w:top w:w="120" w:type="dxa"/>
              <w:left w:w="120" w:type="dxa"/>
              <w:bottom w:w="120" w:type="dxa"/>
              <w:right w:w="120" w:type="dxa"/>
            </w:tcMar>
            <w:vAlign w:val="center"/>
          </w:tcPr>
          <w:p w14:paraId="3564B23F" w14:textId="77777777" w:rsidR="00271EAC" w:rsidRPr="00CE5B7E" w:rsidRDefault="00F1737C">
            <w:pPr>
              <w:spacing w:after="0"/>
              <w:jc w:val="center"/>
              <w:rPr>
                <w:rFonts w:ascii="Aptos" w:hAnsi="Aptos"/>
              </w:rPr>
            </w:pPr>
            <w:r w:rsidRPr="00CE5B7E">
              <w:rPr>
                <w:rFonts w:ascii="Aptos" w:hAnsi="Aptos"/>
                <w:b/>
                <w:color w:val="FFFFFF"/>
                <w:sz w:val="18"/>
              </w:rPr>
              <w:t>Maldon</w:t>
            </w:r>
          </w:p>
        </w:tc>
        <w:tc>
          <w:tcPr>
            <w:tcW w:w="2438" w:type="dxa"/>
            <w:shd w:val="clear" w:color="auto" w:fill="1F4E79"/>
            <w:tcMar>
              <w:top w:w="120" w:type="dxa"/>
              <w:left w:w="120" w:type="dxa"/>
              <w:bottom w:w="120" w:type="dxa"/>
              <w:right w:w="120" w:type="dxa"/>
            </w:tcMar>
            <w:vAlign w:val="center"/>
          </w:tcPr>
          <w:p w14:paraId="7316FBEB" w14:textId="77777777" w:rsidR="00271EAC" w:rsidRPr="00CE5B7E" w:rsidRDefault="00F1737C">
            <w:pPr>
              <w:spacing w:after="0"/>
              <w:jc w:val="center"/>
              <w:rPr>
                <w:rFonts w:ascii="Aptos" w:hAnsi="Aptos"/>
              </w:rPr>
            </w:pPr>
            <w:r w:rsidRPr="00CE5B7E">
              <w:rPr>
                <w:rFonts w:ascii="Aptos" w:hAnsi="Aptos"/>
                <w:b/>
                <w:color w:val="FFFFFF"/>
                <w:sz w:val="18"/>
              </w:rPr>
              <w:t>England</w:t>
            </w:r>
          </w:p>
        </w:tc>
      </w:tr>
      <w:tr w:rsidR="00271EAC" w:rsidRPr="00CE5B7E" w14:paraId="02B2D4A1" w14:textId="77777777">
        <w:trPr>
          <w:jc w:val="center"/>
        </w:trPr>
        <w:tc>
          <w:tcPr>
            <w:tcW w:w="4536" w:type="dxa"/>
            <w:shd w:val="clear" w:color="auto" w:fill="FFFFFF"/>
            <w:tcMar>
              <w:top w:w="110" w:type="dxa"/>
              <w:left w:w="120" w:type="dxa"/>
              <w:bottom w:w="110" w:type="dxa"/>
              <w:right w:w="120" w:type="dxa"/>
            </w:tcMar>
            <w:vAlign w:val="center"/>
          </w:tcPr>
          <w:p w14:paraId="38B5BA91" w14:textId="77777777" w:rsidR="00271EAC" w:rsidRPr="00CE5B7E" w:rsidRDefault="00F1737C">
            <w:pPr>
              <w:spacing w:after="0"/>
              <w:rPr>
                <w:rFonts w:ascii="Aptos" w:hAnsi="Aptos"/>
              </w:rPr>
            </w:pPr>
            <w:r w:rsidRPr="00CE5B7E">
              <w:rPr>
                <w:rFonts w:ascii="Aptos" w:hAnsi="Aptos"/>
                <w:sz w:val="18"/>
              </w:rPr>
              <w:t>Owner occupied</w:t>
            </w:r>
          </w:p>
        </w:tc>
        <w:tc>
          <w:tcPr>
            <w:tcW w:w="2438" w:type="dxa"/>
            <w:shd w:val="clear" w:color="auto" w:fill="FFFFFF"/>
            <w:tcMar>
              <w:top w:w="110" w:type="dxa"/>
              <w:left w:w="120" w:type="dxa"/>
              <w:bottom w:w="110" w:type="dxa"/>
              <w:right w:w="120" w:type="dxa"/>
            </w:tcMar>
            <w:vAlign w:val="center"/>
          </w:tcPr>
          <w:p w14:paraId="2EC32671" w14:textId="77777777" w:rsidR="00271EAC" w:rsidRPr="00CE5B7E" w:rsidRDefault="00F1737C">
            <w:pPr>
              <w:spacing w:after="0"/>
              <w:jc w:val="center"/>
              <w:rPr>
                <w:rFonts w:ascii="Aptos" w:hAnsi="Aptos"/>
              </w:rPr>
            </w:pPr>
            <w:r w:rsidRPr="00CE5B7E">
              <w:rPr>
                <w:rFonts w:ascii="Aptos" w:hAnsi="Aptos"/>
                <w:sz w:val="18"/>
              </w:rPr>
              <w:t>77.0%</w:t>
            </w:r>
          </w:p>
        </w:tc>
        <w:tc>
          <w:tcPr>
            <w:tcW w:w="2438" w:type="dxa"/>
            <w:shd w:val="clear" w:color="auto" w:fill="FFFFFF"/>
            <w:tcMar>
              <w:top w:w="110" w:type="dxa"/>
              <w:left w:w="120" w:type="dxa"/>
              <w:bottom w:w="110" w:type="dxa"/>
              <w:right w:w="120" w:type="dxa"/>
            </w:tcMar>
            <w:vAlign w:val="center"/>
          </w:tcPr>
          <w:p w14:paraId="0FA687C2" w14:textId="77777777" w:rsidR="00271EAC" w:rsidRPr="00CE5B7E" w:rsidRDefault="00F1737C">
            <w:pPr>
              <w:spacing w:after="0"/>
              <w:jc w:val="center"/>
              <w:rPr>
                <w:rFonts w:ascii="Aptos" w:hAnsi="Aptos"/>
              </w:rPr>
            </w:pPr>
            <w:r w:rsidRPr="00CE5B7E">
              <w:rPr>
                <w:rFonts w:ascii="Aptos" w:hAnsi="Aptos"/>
                <w:sz w:val="18"/>
              </w:rPr>
              <w:t>62.3%</w:t>
            </w:r>
          </w:p>
        </w:tc>
      </w:tr>
      <w:tr w:rsidR="00271EAC" w:rsidRPr="00CE5B7E" w14:paraId="071EC348" w14:textId="77777777">
        <w:trPr>
          <w:jc w:val="center"/>
        </w:trPr>
        <w:tc>
          <w:tcPr>
            <w:tcW w:w="4536" w:type="dxa"/>
            <w:shd w:val="clear" w:color="auto" w:fill="EEF4F8"/>
            <w:tcMar>
              <w:top w:w="110" w:type="dxa"/>
              <w:left w:w="120" w:type="dxa"/>
              <w:bottom w:w="110" w:type="dxa"/>
              <w:right w:w="120" w:type="dxa"/>
            </w:tcMar>
            <w:vAlign w:val="center"/>
          </w:tcPr>
          <w:p w14:paraId="2193CBFA" w14:textId="77777777" w:rsidR="00271EAC" w:rsidRPr="00CE5B7E" w:rsidRDefault="00F1737C">
            <w:pPr>
              <w:spacing w:after="0"/>
              <w:rPr>
                <w:rFonts w:ascii="Aptos" w:hAnsi="Aptos"/>
              </w:rPr>
            </w:pPr>
            <w:r w:rsidRPr="00CE5B7E">
              <w:rPr>
                <w:rFonts w:ascii="Aptos" w:hAnsi="Aptos"/>
                <w:sz w:val="18"/>
              </w:rPr>
              <w:t>Private rented</w:t>
            </w:r>
          </w:p>
        </w:tc>
        <w:tc>
          <w:tcPr>
            <w:tcW w:w="2438" w:type="dxa"/>
            <w:shd w:val="clear" w:color="auto" w:fill="EEF4F8"/>
            <w:tcMar>
              <w:top w:w="110" w:type="dxa"/>
              <w:left w:w="120" w:type="dxa"/>
              <w:bottom w:w="110" w:type="dxa"/>
              <w:right w:w="120" w:type="dxa"/>
            </w:tcMar>
            <w:vAlign w:val="center"/>
          </w:tcPr>
          <w:p w14:paraId="3E050519" w14:textId="77777777" w:rsidR="00271EAC" w:rsidRPr="00CE5B7E" w:rsidRDefault="00F1737C">
            <w:pPr>
              <w:spacing w:after="0"/>
              <w:jc w:val="center"/>
              <w:rPr>
                <w:rFonts w:ascii="Aptos" w:hAnsi="Aptos"/>
              </w:rPr>
            </w:pPr>
            <w:r w:rsidRPr="00CE5B7E">
              <w:rPr>
                <w:rFonts w:ascii="Aptos" w:hAnsi="Aptos"/>
                <w:sz w:val="18"/>
              </w:rPr>
              <w:t>11.8%</w:t>
            </w:r>
          </w:p>
        </w:tc>
        <w:tc>
          <w:tcPr>
            <w:tcW w:w="2438" w:type="dxa"/>
            <w:shd w:val="clear" w:color="auto" w:fill="EEF4F8"/>
            <w:tcMar>
              <w:top w:w="110" w:type="dxa"/>
              <w:left w:w="120" w:type="dxa"/>
              <w:bottom w:w="110" w:type="dxa"/>
              <w:right w:w="120" w:type="dxa"/>
            </w:tcMar>
            <w:vAlign w:val="center"/>
          </w:tcPr>
          <w:p w14:paraId="61A1614D" w14:textId="77777777" w:rsidR="00271EAC" w:rsidRPr="00CE5B7E" w:rsidRDefault="00F1737C">
            <w:pPr>
              <w:spacing w:after="0"/>
              <w:jc w:val="center"/>
              <w:rPr>
                <w:rFonts w:ascii="Aptos" w:hAnsi="Aptos"/>
              </w:rPr>
            </w:pPr>
            <w:r w:rsidRPr="00CE5B7E">
              <w:rPr>
                <w:rFonts w:ascii="Aptos" w:hAnsi="Aptos"/>
                <w:sz w:val="18"/>
              </w:rPr>
              <w:t>20.3%</w:t>
            </w:r>
          </w:p>
        </w:tc>
      </w:tr>
      <w:tr w:rsidR="00271EAC" w:rsidRPr="00CE5B7E" w14:paraId="2E0C4640" w14:textId="77777777">
        <w:trPr>
          <w:jc w:val="center"/>
        </w:trPr>
        <w:tc>
          <w:tcPr>
            <w:tcW w:w="4536" w:type="dxa"/>
            <w:shd w:val="clear" w:color="auto" w:fill="FFFFFF"/>
            <w:tcMar>
              <w:top w:w="110" w:type="dxa"/>
              <w:left w:w="120" w:type="dxa"/>
              <w:bottom w:w="110" w:type="dxa"/>
              <w:right w:w="120" w:type="dxa"/>
            </w:tcMar>
            <w:vAlign w:val="center"/>
          </w:tcPr>
          <w:p w14:paraId="423661BF" w14:textId="77777777" w:rsidR="00271EAC" w:rsidRPr="00CE5B7E" w:rsidRDefault="00F1737C">
            <w:pPr>
              <w:spacing w:after="0"/>
              <w:rPr>
                <w:rFonts w:ascii="Aptos" w:hAnsi="Aptos"/>
              </w:rPr>
            </w:pPr>
            <w:r w:rsidRPr="00CE5B7E">
              <w:rPr>
                <w:rFonts w:ascii="Aptos" w:hAnsi="Aptos"/>
                <w:sz w:val="18"/>
              </w:rPr>
              <w:t>Social rented</w:t>
            </w:r>
          </w:p>
        </w:tc>
        <w:tc>
          <w:tcPr>
            <w:tcW w:w="2438" w:type="dxa"/>
            <w:shd w:val="clear" w:color="auto" w:fill="FFFFFF"/>
            <w:tcMar>
              <w:top w:w="110" w:type="dxa"/>
              <w:left w:w="120" w:type="dxa"/>
              <w:bottom w:w="110" w:type="dxa"/>
              <w:right w:w="120" w:type="dxa"/>
            </w:tcMar>
            <w:vAlign w:val="center"/>
          </w:tcPr>
          <w:p w14:paraId="3B50A5E4" w14:textId="77777777" w:rsidR="00271EAC" w:rsidRPr="00CE5B7E" w:rsidRDefault="00F1737C">
            <w:pPr>
              <w:spacing w:after="0"/>
              <w:jc w:val="center"/>
              <w:rPr>
                <w:rFonts w:ascii="Aptos" w:hAnsi="Aptos"/>
              </w:rPr>
            </w:pPr>
            <w:r w:rsidRPr="00CE5B7E">
              <w:rPr>
                <w:rFonts w:ascii="Aptos" w:hAnsi="Aptos"/>
                <w:sz w:val="18"/>
              </w:rPr>
              <w:t>11.2%</w:t>
            </w:r>
          </w:p>
        </w:tc>
        <w:tc>
          <w:tcPr>
            <w:tcW w:w="2438" w:type="dxa"/>
            <w:shd w:val="clear" w:color="auto" w:fill="FFFFFF"/>
            <w:tcMar>
              <w:top w:w="110" w:type="dxa"/>
              <w:left w:w="120" w:type="dxa"/>
              <w:bottom w:w="110" w:type="dxa"/>
              <w:right w:w="120" w:type="dxa"/>
            </w:tcMar>
            <w:vAlign w:val="center"/>
          </w:tcPr>
          <w:p w14:paraId="1FF8FCF0" w14:textId="77777777" w:rsidR="00271EAC" w:rsidRPr="00CE5B7E" w:rsidRDefault="00F1737C">
            <w:pPr>
              <w:spacing w:after="0"/>
              <w:jc w:val="center"/>
              <w:rPr>
                <w:rFonts w:ascii="Aptos" w:hAnsi="Aptos"/>
              </w:rPr>
            </w:pPr>
            <w:r w:rsidRPr="00CE5B7E">
              <w:rPr>
                <w:rFonts w:ascii="Aptos" w:hAnsi="Aptos"/>
                <w:sz w:val="18"/>
              </w:rPr>
              <w:t>17.1%</w:t>
            </w:r>
          </w:p>
        </w:tc>
      </w:tr>
    </w:tbl>
    <w:p w14:paraId="27EFCE88" w14:textId="77777777" w:rsidR="00271EAC" w:rsidRPr="00CE5B7E" w:rsidRDefault="00271EAC">
      <w:pPr>
        <w:spacing w:after="0"/>
        <w:rPr>
          <w:rFonts w:ascii="Aptos" w:hAnsi="Aptos"/>
        </w:rPr>
      </w:pPr>
    </w:p>
    <w:p w14:paraId="35D3039C" w14:textId="77777777" w:rsidR="00271EAC" w:rsidRPr="00CE5B7E" w:rsidRDefault="00F1737C">
      <w:pPr>
        <w:rPr>
          <w:rFonts w:ascii="Aptos" w:hAnsi="Aptos"/>
        </w:rPr>
      </w:pPr>
      <w:r w:rsidRPr="00CE5B7E">
        <w:rPr>
          <w:rFonts w:ascii="Aptos" w:hAnsi="Aptos"/>
        </w:rPr>
        <w:t>High home ownership provides stability for many households, but the smaller private and social rented sectors leave less choice for people who cannot buy or whose circumstances change. Around 69% of homes have three or more bedrooms, compared with 61% across England. More smaller and accessible homes could widen choice and allow some larger properties to become available over time.</w:t>
      </w:r>
    </w:p>
    <w:p w14:paraId="7B3E4718" w14:textId="77777777" w:rsidR="00271EAC" w:rsidRPr="00CE5B7E" w:rsidRDefault="00F1737C">
      <w:pPr>
        <w:pStyle w:val="Sourcenote"/>
        <w:rPr>
          <w:rFonts w:ascii="Aptos" w:hAnsi="Aptos"/>
        </w:rPr>
      </w:pPr>
      <w:r w:rsidRPr="00CE5B7E">
        <w:rPr>
          <w:rFonts w:ascii="Aptos" w:hAnsi="Aptos"/>
        </w:rPr>
        <w:t>Sources: ONS Census 2021, mid-year estimates and 2022-based population and household projections.</w:t>
      </w:r>
    </w:p>
    <w:p w14:paraId="1F3A523E" w14:textId="77777777" w:rsidR="00271EAC" w:rsidRPr="00CE5B7E" w:rsidRDefault="00F1737C">
      <w:pPr>
        <w:rPr>
          <w:rFonts w:ascii="Aptos" w:hAnsi="Aptos"/>
        </w:rPr>
      </w:pPr>
      <w:r w:rsidRPr="00CE5B7E">
        <w:rPr>
          <w:rFonts w:ascii="Aptos" w:hAnsi="Aptos"/>
        </w:rPr>
        <w:br w:type="page"/>
      </w:r>
    </w:p>
    <w:p w14:paraId="1B71C501" w14:textId="77777777" w:rsidR="00271EAC" w:rsidRPr="00CE5B7E" w:rsidRDefault="00F1737C">
      <w:pPr>
        <w:pStyle w:val="Heading1"/>
        <w:rPr>
          <w:rFonts w:ascii="Aptos" w:hAnsi="Aptos"/>
        </w:rPr>
      </w:pPr>
      <w:r w:rsidRPr="00CE5B7E">
        <w:rPr>
          <w:rFonts w:ascii="Aptos" w:hAnsi="Aptos"/>
        </w:rPr>
        <w:lastRenderedPageBreak/>
        <w:t>Affordability is the clearest pressure</w:t>
      </w:r>
    </w:p>
    <w:p w14:paraId="769F7ED8" w14:textId="77777777" w:rsidR="00271EAC" w:rsidRPr="00CE5B7E" w:rsidRDefault="00F1737C">
      <w:pPr>
        <w:rPr>
          <w:rFonts w:ascii="Aptos" w:hAnsi="Aptos"/>
        </w:rPr>
      </w:pPr>
      <w:r w:rsidRPr="00CE5B7E">
        <w:rPr>
          <w:rFonts w:ascii="Aptos" w:hAnsi="Aptos"/>
        </w:rPr>
        <w:t xml:space="preserve">In the year to September 2025, the median house price in Maldon was £385,000. The median home cost 11.05 times median full-time workplace earnings, compared with 7.6 times across England. Even a lower-quartile home </w:t>
      </w:r>
      <w:proofErr w:type="gramStart"/>
      <w:r w:rsidRPr="00CE5B7E">
        <w:rPr>
          <w:rFonts w:ascii="Aptos" w:hAnsi="Aptos"/>
        </w:rPr>
        <w:t>cost</w:t>
      </w:r>
      <w:proofErr w:type="gramEnd"/>
      <w:r w:rsidRPr="00CE5B7E">
        <w:rPr>
          <w:rFonts w:ascii="Aptos" w:hAnsi="Aptos"/>
        </w:rPr>
        <w:t xml:space="preserve"> £310,000, £42,000 more than in 2020.</w:t>
      </w:r>
    </w:p>
    <w:p w14:paraId="5FD2093F" w14:textId="77777777" w:rsidR="00271EAC" w:rsidRPr="00CE5B7E" w:rsidRDefault="00F1737C">
      <w:pPr>
        <w:rPr>
          <w:rFonts w:ascii="Aptos" w:hAnsi="Aptos"/>
        </w:rPr>
      </w:pPr>
      <w:r w:rsidRPr="00CE5B7E">
        <w:rPr>
          <w:rFonts w:ascii="Aptos" w:hAnsi="Aptos"/>
        </w:rPr>
        <w:t>Average private rents are lower than the England average, but they have risen and are above Local Housing Allowance rates across the property sizes shown below. Local Housing Allowance is the maximum amount used to help calculate Housing Benefit or the housing element of Universal Credit for many private renters.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81"/>
        <w:gridCol w:w="3005"/>
        <w:gridCol w:w="2097"/>
        <w:gridCol w:w="2097"/>
      </w:tblGrid>
      <w:tr w:rsidR="00271EAC" w:rsidRPr="00CE5B7E" w14:paraId="032B67DB" w14:textId="77777777">
        <w:trPr>
          <w:tblHeader/>
          <w:jc w:val="center"/>
        </w:trPr>
        <w:tc>
          <w:tcPr>
            <w:tcW w:w="2381" w:type="dxa"/>
            <w:shd w:val="clear" w:color="auto" w:fill="1F4E79"/>
            <w:tcMar>
              <w:top w:w="120" w:type="dxa"/>
              <w:left w:w="120" w:type="dxa"/>
              <w:bottom w:w="120" w:type="dxa"/>
              <w:right w:w="120" w:type="dxa"/>
            </w:tcMar>
            <w:vAlign w:val="center"/>
          </w:tcPr>
          <w:p w14:paraId="17B99B91" w14:textId="77777777" w:rsidR="00271EAC" w:rsidRPr="00CE5B7E" w:rsidRDefault="00F1737C">
            <w:pPr>
              <w:spacing w:after="0"/>
              <w:rPr>
                <w:rFonts w:ascii="Aptos" w:hAnsi="Aptos"/>
              </w:rPr>
            </w:pPr>
            <w:r w:rsidRPr="00CE5B7E">
              <w:rPr>
                <w:rFonts w:ascii="Aptos" w:hAnsi="Aptos"/>
                <w:b/>
                <w:color w:val="FFFFFF"/>
                <w:sz w:val="18"/>
              </w:rPr>
              <w:t>Property size</w:t>
            </w:r>
          </w:p>
        </w:tc>
        <w:tc>
          <w:tcPr>
            <w:tcW w:w="3005" w:type="dxa"/>
            <w:shd w:val="clear" w:color="auto" w:fill="1F4E79"/>
            <w:tcMar>
              <w:top w:w="120" w:type="dxa"/>
              <w:left w:w="120" w:type="dxa"/>
              <w:bottom w:w="120" w:type="dxa"/>
              <w:right w:w="120" w:type="dxa"/>
            </w:tcMar>
            <w:vAlign w:val="center"/>
          </w:tcPr>
          <w:p w14:paraId="4691CFCF" w14:textId="77777777" w:rsidR="00271EAC" w:rsidRPr="00CE5B7E" w:rsidRDefault="00F1737C">
            <w:pPr>
              <w:spacing w:after="0"/>
              <w:jc w:val="center"/>
              <w:rPr>
                <w:rFonts w:ascii="Aptos" w:hAnsi="Aptos"/>
              </w:rPr>
            </w:pPr>
            <w:r w:rsidRPr="00CE5B7E">
              <w:rPr>
                <w:rFonts w:ascii="Aptos" w:hAnsi="Aptos"/>
                <w:b/>
                <w:color w:val="FFFFFF"/>
                <w:sz w:val="18"/>
              </w:rPr>
              <w:t>Modelled Maldon monthly rent June 2026</w:t>
            </w:r>
          </w:p>
        </w:tc>
        <w:tc>
          <w:tcPr>
            <w:tcW w:w="2097" w:type="dxa"/>
            <w:shd w:val="clear" w:color="auto" w:fill="1F4E79"/>
            <w:tcMar>
              <w:top w:w="120" w:type="dxa"/>
              <w:left w:w="120" w:type="dxa"/>
              <w:bottom w:w="120" w:type="dxa"/>
              <w:right w:w="120" w:type="dxa"/>
            </w:tcMar>
            <w:vAlign w:val="center"/>
          </w:tcPr>
          <w:p w14:paraId="62DE12A3" w14:textId="77777777" w:rsidR="00271EAC" w:rsidRPr="00CE5B7E" w:rsidRDefault="00F1737C">
            <w:pPr>
              <w:spacing w:after="0"/>
              <w:jc w:val="center"/>
              <w:rPr>
                <w:rFonts w:ascii="Aptos" w:hAnsi="Aptos"/>
              </w:rPr>
            </w:pPr>
            <w:r w:rsidRPr="00CE5B7E">
              <w:rPr>
                <w:rFonts w:ascii="Aptos" w:hAnsi="Aptos"/>
                <w:b/>
                <w:color w:val="FFFFFF"/>
                <w:sz w:val="18"/>
              </w:rPr>
              <w:t>Chelmsford monthly LHA</w:t>
            </w:r>
          </w:p>
        </w:tc>
        <w:tc>
          <w:tcPr>
            <w:tcW w:w="2097" w:type="dxa"/>
            <w:shd w:val="clear" w:color="auto" w:fill="1F4E79"/>
            <w:tcMar>
              <w:top w:w="120" w:type="dxa"/>
              <w:left w:w="120" w:type="dxa"/>
              <w:bottom w:w="120" w:type="dxa"/>
              <w:right w:w="120" w:type="dxa"/>
            </w:tcMar>
            <w:vAlign w:val="center"/>
          </w:tcPr>
          <w:p w14:paraId="7C7DDA44" w14:textId="77777777" w:rsidR="00271EAC" w:rsidRPr="00CE5B7E" w:rsidRDefault="00F1737C">
            <w:pPr>
              <w:spacing w:after="0"/>
              <w:jc w:val="center"/>
              <w:rPr>
                <w:rFonts w:ascii="Aptos" w:hAnsi="Aptos"/>
              </w:rPr>
            </w:pPr>
            <w:r w:rsidRPr="00CE5B7E">
              <w:rPr>
                <w:rFonts w:ascii="Aptos" w:hAnsi="Aptos"/>
                <w:b/>
                <w:color w:val="FFFFFF"/>
                <w:sz w:val="18"/>
              </w:rPr>
              <w:t>Colchester monthly LHA</w:t>
            </w:r>
          </w:p>
        </w:tc>
      </w:tr>
      <w:tr w:rsidR="00271EAC" w:rsidRPr="00CE5B7E" w14:paraId="3A47F97D" w14:textId="77777777">
        <w:trPr>
          <w:jc w:val="center"/>
        </w:trPr>
        <w:tc>
          <w:tcPr>
            <w:tcW w:w="2381" w:type="dxa"/>
            <w:shd w:val="clear" w:color="auto" w:fill="FFFFFF"/>
            <w:tcMar>
              <w:top w:w="110" w:type="dxa"/>
              <w:left w:w="120" w:type="dxa"/>
              <w:bottom w:w="110" w:type="dxa"/>
              <w:right w:w="120" w:type="dxa"/>
            </w:tcMar>
            <w:vAlign w:val="center"/>
          </w:tcPr>
          <w:p w14:paraId="333BE77E" w14:textId="77777777" w:rsidR="00271EAC" w:rsidRPr="00CE5B7E" w:rsidRDefault="00F1737C">
            <w:pPr>
              <w:spacing w:after="0"/>
              <w:rPr>
                <w:rFonts w:ascii="Aptos" w:hAnsi="Aptos"/>
              </w:rPr>
            </w:pPr>
            <w:r w:rsidRPr="00CE5B7E">
              <w:rPr>
                <w:rFonts w:ascii="Aptos" w:hAnsi="Aptos"/>
                <w:sz w:val="18"/>
              </w:rPr>
              <w:t>1 bedroom</w:t>
            </w:r>
          </w:p>
        </w:tc>
        <w:tc>
          <w:tcPr>
            <w:tcW w:w="3005" w:type="dxa"/>
            <w:shd w:val="clear" w:color="auto" w:fill="FFFFFF"/>
            <w:tcMar>
              <w:top w:w="110" w:type="dxa"/>
              <w:left w:w="120" w:type="dxa"/>
              <w:bottom w:w="110" w:type="dxa"/>
              <w:right w:w="120" w:type="dxa"/>
            </w:tcMar>
            <w:vAlign w:val="center"/>
          </w:tcPr>
          <w:p w14:paraId="1C2CA9B0" w14:textId="77777777" w:rsidR="00271EAC" w:rsidRPr="00CE5B7E" w:rsidRDefault="00F1737C">
            <w:pPr>
              <w:spacing w:after="0"/>
              <w:jc w:val="center"/>
              <w:rPr>
                <w:rFonts w:ascii="Aptos" w:hAnsi="Aptos"/>
              </w:rPr>
            </w:pPr>
            <w:r w:rsidRPr="00CE5B7E">
              <w:rPr>
                <w:rFonts w:ascii="Aptos" w:hAnsi="Aptos"/>
                <w:sz w:val="18"/>
              </w:rPr>
              <w:t>£802</w:t>
            </w:r>
          </w:p>
        </w:tc>
        <w:tc>
          <w:tcPr>
            <w:tcW w:w="2097" w:type="dxa"/>
            <w:shd w:val="clear" w:color="auto" w:fill="FFFFFF"/>
            <w:tcMar>
              <w:top w:w="110" w:type="dxa"/>
              <w:left w:w="120" w:type="dxa"/>
              <w:bottom w:w="110" w:type="dxa"/>
              <w:right w:w="120" w:type="dxa"/>
            </w:tcMar>
            <w:vAlign w:val="center"/>
          </w:tcPr>
          <w:p w14:paraId="78769868" w14:textId="77777777" w:rsidR="00271EAC" w:rsidRPr="00CE5B7E" w:rsidRDefault="00F1737C">
            <w:pPr>
              <w:spacing w:after="0"/>
              <w:jc w:val="center"/>
              <w:rPr>
                <w:rFonts w:ascii="Aptos" w:hAnsi="Aptos"/>
              </w:rPr>
            </w:pPr>
            <w:r w:rsidRPr="00CE5B7E">
              <w:rPr>
                <w:rFonts w:ascii="Aptos" w:hAnsi="Aptos"/>
                <w:sz w:val="18"/>
              </w:rPr>
              <w:t>£793</w:t>
            </w:r>
          </w:p>
        </w:tc>
        <w:tc>
          <w:tcPr>
            <w:tcW w:w="2097" w:type="dxa"/>
            <w:shd w:val="clear" w:color="auto" w:fill="FFFFFF"/>
            <w:tcMar>
              <w:top w:w="110" w:type="dxa"/>
              <w:left w:w="120" w:type="dxa"/>
              <w:bottom w:w="110" w:type="dxa"/>
              <w:right w:w="120" w:type="dxa"/>
            </w:tcMar>
            <w:vAlign w:val="center"/>
          </w:tcPr>
          <w:p w14:paraId="78C1B4F4" w14:textId="77777777" w:rsidR="00271EAC" w:rsidRPr="00CE5B7E" w:rsidRDefault="00F1737C">
            <w:pPr>
              <w:spacing w:after="0"/>
              <w:jc w:val="center"/>
              <w:rPr>
                <w:rFonts w:ascii="Aptos" w:hAnsi="Aptos"/>
              </w:rPr>
            </w:pPr>
            <w:r w:rsidRPr="00CE5B7E">
              <w:rPr>
                <w:rFonts w:ascii="Aptos" w:hAnsi="Aptos"/>
                <w:sz w:val="18"/>
              </w:rPr>
              <w:t>£623</w:t>
            </w:r>
          </w:p>
        </w:tc>
      </w:tr>
      <w:tr w:rsidR="00271EAC" w:rsidRPr="00CE5B7E" w14:paraId="7BFD4C8A" w14:textId="77777777">
        <w:trPr>
          <w:jc w:val="center"/>
        </w:trPr>
        <w:tc>
          <w:tcPr>
            <w:tcW w:w="2381" w:type="dxa"/>
            <w:shd w:val="clear" w:color="auto" w:fill="EEF4F8"/>
            <w:tcMar>
              <w:top w:w="110" w:type="dxa"/>
              <w:left w:w="120" w:type="dxa"/>
              <w:bottom w:w="110" w:type="dxa"/>
              <w:right w:w="120" w:type="dxa"/>
            </w:tcMar>
            <w:vAlign w:val="center"/>
          </w:tcPr>
          <w:p w14:paraId="763B0C32" w14:textId="77777777" w:rsidR="00271EAC" w:rsidRPr="00CE5B7E" w:rsidRDefault="00F1737C">
            <w:pPr>
              <w:spacing w:after="0"/>
              <w:rPr>
                <w:rFonts w:ascii="Aptos" w:hAnsi="Aptos"/>
              </w:rPr>
            </w:pPr>
            <w:r w:rsidRPr="00CE5B7E">
              <w:rPr>
                <w:rFonts w:ascii="Aptos" w:hAnsi="Aptos"/>
                <w:sz w:val="18"/>
              </w:rPr>
              <w:t>2 bedrooms</w:t>
            </w:r>
          </w:p>
        </w:tc>
        <w:tc>
          <w:tcPr>
            <w:tcW w:w="3005" w:type="dxa"/>
            <w:shd w:val="clear" w:color="auto" w:fill="EEF4F8"/>
            <w:tcMar>
              <w:top w:w="110" w:type="dxa"/>
              <w:left w:w="120" w:type="dxa"/>
              <w:bottom w:w="110" w:type="dxa"/>
              <w:right w:w="120" w:type="dxa"/>
            </w:tcMar>
            <w:vAlign w:val="center"/>
          </w:tcPr>
          <w:p w14:paraId="524FC78F" w14:textId="77777777" w:rsidR="00271EAC" w:rsidRPr="00CE5B7E" w:rsidRDefault="00F1737C">
            <w:pPr>
              <w:spacing w:after="0"/>
              <w:jc w:val="center"/>
              <w:rPr>
                <w:rFonts w:ascii="Aptos" w:hAnsi="Aptos"/>
              </w:rPr>
            </w:pPr>
            <w:r w:rsidRPr="00CE5B7E">
              <w:rPr>
                <w:rFonts w:ascii="Aptos" w:hAnsi="Aptos"/>
                <w:sz w:val="18"/>
              </w:rPr>
              <w:t>£1,040</w:t>
            </w:r>
          </w:p>
        </w:tc>
        <w:tc>
          <w:tcPr>
            <w:tcW w:w="2097" w:type="dxa"/>
            <w:shd w:val="clear" w:color="auto" w:fill="EEF4F8"/>
            <w:tcMar>
              <w:top w:w="110" w:type="dxa"/>
              <w:left w:w="120" w:type="dxa"/>
              <w:bottom w:w="110" w:type="dxa"/>
              <w:right w:w="120" w:type="dxa"/>
            </w:tcMar>
            <w:vAlign w:val="center"/>
          </w:tcPr>
          <w:p w14:paraId="59A79A48" w14:textId="77777777" w:rsidR="00271EAC" w:rsidRPr="00CE5B7E" w:rsidRDefault="00F1737C">
            <w:pPr>
              <w:spacing w:after="0"/>
              <w:jc w:val="center"/>
              <w:rPr>
                <w:rFonts w:ascii="Aptos" w:hAnsi="Aptos"/>
              </w:rPr>
            </w:pPr>
            <w:r w:rsidRPr="00CE5B7E">
              <w:rPr>
                <w:rFonts w:ascii="Aptos" w:hAnsi="Aptos"/>
                <w:sz w:val="18"/>
              </w:rPr>
              <w:t>£947</w:t>
            </w:r>
          </w:p>
        </w:tc>
        <w:tc>
          <w:tcPr>
            <w:tcW w:w="2097" w:type="dxa"/>
            <w:shd w:val="clear" w:color="auto" w:fill="EEF4F8"/>
            <w:tcMar>
              <w:top w:w="110" w:type="dxa"/>
              <w:left w:w="120" w:type="dxa"/>
              <w:bottom w:w="110" w:type="dxa"/>
              <w:right w:w="120" w:type="dxa"/>
            </w:tcMar>
            <w:vAlign w:val="center"/>
          </w:tcPr>
          <w:p w14:paraId="0DD69420" w14:textId="77777777" w:rsidR="00271EAC" w:rsidRPr="00CE5B7E" w:rsidRDefault="00F1737C">
            <w:pPr>
              <w:spacing w:after="0"/>
              <w:jc w:val="center"/>
              <w:rPr>
                <w:rFonts w:ascii="Aptos" w:hAnsi="Aptos"/>
              </w:rPr>
            </w:pPr>
            <w:r w:rsidRPr="00CE5B7E">
              <w:rPr>
                <w:rFonts w:ascii="Aptos" w:hAnsi="Aptos"/>
                <w:sz w:val="18"/>
              </w:rPr>
              <w:t>£793</w:t>
            </w:r>
          </w:p>
        </w:tc>
      </w:tr>
      <w:tr w:rsidR="00271EAC" w:rsidRPr="00CE5B7E" w14:paraId="7C1B3149" w14:textId="77777777">
        <w:trPr>
          <w:jc w:val="center"/>
        </w:trPr>
        <w:tc>
          <w:tcPr>
            <w:tcW w:w="2381" w:type="dxa"/>
            <w:shd w:val="clear" w:color="auto" w:fill="FFFFFF"/>
            <w:tcMar>
              <w:top w:w="110" w:type="dxa"/>
              <w:left w:w="120" w:type="dxa"/>
              <w:bottom w:w="110" w:type="dxa"/>
              <w:right w:w="120" w:type="dxa"/>
            </w:tcMar>
            <w:vAlign w:val="center"/>
          </w:tcPr>
          <w:p w14:paraId="3F6E3DD3" w14:textId="77777777" w:rsidR="00271EAC" w:rsidRPr="00CE5B7E" w:rsidRDefault="00F1737C">
            <w:pPr>
              <w:spacing w:after="0"/>
              <w:rPr>
                <w:rFonts w:ascii="Aptos" w:hAnsi="Aptos"/>
              </w:rPr>
            </w:pPr>
            <w:r w:rsidRPr="00CE5B7E">
              <w:rPr>
                <w:rFonts w:ascii="Aptos" w:hAnsi="Aptos"/>
                <w:sz w:val="18"/>
              </w:rPr>
              <w:t>3 bedrooms</w:t>
            </w:r>
          </w:p>
        </w:tc>
        <w:tc>
          <w:tcPr>
            <w:tcW w:w="3005" w:type="dxa"/>
            <w:shd w:val="clear" w:color="auto" w:fill="FFFFFF"/>
            <w:tcMar>
              <w:top w:w="110" w:type="dxa"/>
              <w:left w:w="120" w:type="dxa"/>
              <w:bottom w:w="110" w:type="dxa"/>
              <w:right w:w="120" w:type="dxa"/>
            </w:tcMar>
            <w:vAlign w:val="center"/>
          </w:tcPr>
          <w:p w14:paraId="03468C84" w14:textId="77777777" w:rsidR="00271EAC" w:rsidRPr="00CE5B7E" w:rsidRDefault="00F1737C">
            <w:pPr>
              <w:spacing w:after="0"/>
              <w:jc w:val="center"/>
              <w:rPr>
                <w:rFonts w:ascii="Aptos" w:hAnsi="Aptos"/>
              </w:rPr>
            </w:pPr>
            <w:r w:rsidRPr="00CE5B7E">
              <w:rPr>
                <w:rFonts w:ascii="Aptos" w:hAnsi="Aptos"/>
                <w:sz w:val="18"/>
              </w:rPr>
              <w:t>£1,253</w:t>
            </w:r>
          </w:p>
        </w:tc>
        <w:tc>
          <w:tcPr>
            <w:tcW w:w="2097" w:type="dxa"/>
            <w:shd w:val="clear" w:color="auto" w:fill="FFFFFF"/>
            <w:tcMar>
              <w:top w:w="110" w:type="dxa"/>
              <w:left w:w="120" w:type="dxa"/>
              <w:bottom w:w="110" w:type="dxa"/>
              <w:right w:w="120" w:type="dxa"/>
            </w:tcMar>
            <w:vAlign w:val="center"/>
          </w:tcPr>
          <w:p w14:paraId="448954A8" w14:textId="77777777" w:rsidR="00271EAC" w:rsidRPr="00CE5B7E" w:rsidRDefault="00F1737C">
            <w:pPr>
              <w:spacing w:after="0"/>
              <w:jc w:val="center"/>
              <w:rPr>
                <w:rFonts w:ascii="Aptos" w:hAnsi="Aptos"/>
              </w:rPr>
            </w:pPr>
            <w:r w:rsidRPr="00CE5B7E">
              <w:rPr>
                <w:rFonts w:ascii="Aptos" w:hAnsi="Aptos"/>
                <w:sz w:val="18"/>
              </w:rPr>
              <w:t>£1,197</w:t>
            </w:r>
          </w:p>
        </w:tc>
        <w:tc>
          <w:tcPr>
            <w:tcW w:w="2097" w:type="dxa"/>
            <w:shd w:val="clear" w:color="auto" w:fill="FFFFFF"/>
            <w:tcMar>
              <w:top w:w="110" w:type="dxa"/>
              <w:left w:w="120" w:type="dxa"/>
              <w:bottom w:w="110" w:type="dxa"/>
              <w:right w:w="120" w:type="dxa"/>
            </w:tcMar>
            <w:vAlign w:val="center"/>
          </w:tcPr>
          <w:p w14:paraId="63818D6B" w14:textId="77777777" w:rsidR="00271EAC" w:rsidRPr="00CE5B7E" w:rsidRDefault="00F1737C">
            <w:pPr>
              <w:spacing w:after="0"/>
              <w:jc w:val="center"/>
              <w:rPr>
                <w:rFonts w:ascii="Aptos" w:hAnsi="Aptos"/>
              </w:rPr>
            </w:pPr>
            <w:r w:rsidRPr="00CE5B7E">
              <w:rPr>
                <w:rFonts w:ascii="Aptos" w:hAnsi="Aptos"/>
                <w:sz w:val="18"/>
              </w:rPr>
              <w:t>£972</w:t>
            </w:r>
          </w:p>
        </w:tc>
      </w:tr>
      <w:tr w:rsidR="00271EAC" w:rsidRPr="00CE5B7E" w14:paraId="302629F5" w14:textId="77777777">
        <w:trPr>
          <w:jc w:val="center"/>
        </w:trPr>
        <w:tc>
          <w:tcPr>
            <w:tcW w:w="2381" w:type="dxa"/>
            <w:shd w:val="clear" w:color="auto" w:fill="EEF4F8"/>
            <w:tcMar>
              <w:top w:w="110" w:type="dxa"/>
              <w:left w:w="120" w:type="dxa"/>
              <w:bottom w:w="110" w:type="dxa"/>
              <w:right w:w="120" w:type="dxa"/>
            </w:tcMar>
            <w:vAlign w:val="center"/>
          </w:tcPr>
          <w:p w14:paraId="3A3EC18B" w14:textId="77777777" w:rsidR="00271EAC" w:rsidRPr="00CE5B7E" w:rsidRDefault="00F1737C">
            <w:pPr>
              <w:spacing w:after="0"/>
              <w:rPr>
                <w:rFonts w:ascii="Aptos" w:hAnsi="Aptos"/>
              </w:rPr>
            </w:pPr>
            <w:r w:rsidRPr="00CE5B7E">
              <w:rPr>
                <w:rFonts w:ascii="Aptos" w:hAnsi="Aptos"/>
                <w:sz w:val="18"/>
              </w:rPr>
              <w:t>4 or more bedrooms</w:t>
            </w:r>
          </w:p>
        </w:tc>
        <w:tc>
          <w:tcPr>
            <w:tcW w:w="3005" w:type="dxa"/>
            <w:shd w:val="clear" w:color="auto" w:fill="EEF4F8"/>
            <w:tcMar>
              <w:top w:w="110" w:type="dxa"/>
              <w:left w:w="120" w:type="dxa"/>
              <w:bottom w:w="110" w:type="dxa"/>
              <w:right w:w="120" w:type="dxa"/>
            </w:tcMar>
            <w:vAlign w:val="center"/>
          </w:tcPr>
          <w:p w14:paraId="1493CD70" w14:textId="77777777" w:rsidR="00271EAC" w:rsidRPr="00CE5B7E" w:rsidRDefault="00F1737C">
            <w:pPr>
              <w:spacing w:after="0"/>
              <w:jc w:val="center"/>
              <w:rPr>
                <w:rFonts w:ascii="Aptos" w:hAnsi="Aptos"/>
              </w:rPr>
            </w:pPr>
            <w:r w:rsidRPr="00CE5B7E">
              <w:rPr>
                <w:rFonts w:ascii="Aptos" w:hAnsi="Aptos"/>
                <w:sz w:val="18"/>
              </w:rPr>
              <w:t>£1,919</w:t>
            </w:r>
          </w:p>
        </w:tc>
        <w:tc>
          <w:tcPr>
            <w:tcW w:w="2097" w:type="dxa"/>
            <w:shd w:val="clear" w:color="auto" w:fill="EEF4F8"/>
            <w:tcMar>
              <w:top w:w="110" w:type="dxa"/>
              <w:left w:w="120" w:type="dxa"/>
              <w:bottom w:w="110" w:type="dxa"/>
              <w:right w:w="120" w:type="dxa"/>
            </w:tcMar>
            <w:vAlign w:val="center"/>
          </w:tcPr>
          <w:p w14:paraId="053CF04C" w14:textId="77777777" w:rsidR="00271EAC" w:rsidRPr="00CE5B7E" w:rsidRDefault="00F1737C">
            <w:pPr>
              <w:spacing w:after="0"/>
              <w:jc w:val="center"/>
              <w:rPr>
                <w:rFonts w:ascii="Aptos" w:hAnsi="Aptos"/>
              </w:rPr>
            </w:pPr>
            <w:r w:rsidRPr="00CE5B7E">
              <w:rPr>
                <w:rFonts w:ascii="Aptos" w:hAnsi="Aptos"/>
                <w:sz w:val="18"/>
              </w:rPr>
              <w:t>£1,446</w:t>
            </w:r>
          </w:p>
        </w:tc>
        <w:tc>
          <w:tcPr>
            <w:tcW w:w="2097" w:type="dxa"/>
            <w:shd w:val="clear" w:color="auto" w:fill="EEF4F8"/>
            <w:tcMar>
              <w:top w:w="110" w:type="dxa"/>
              <w:left w:w="120" w:type="dxa"/>
              <w:bottom w:w="110" w:type="dxa"/>
              <w:right w:w="120" w:type="dxa"/>
            </w:tcMar>
            <w:vAlign w:val="center"/>
          </w:tcPr>
          <w:p w14:paraId="0DDB4657" w14:textId="77777777" w:rsidR="00271EAC" w:rsidRPr="00CE5B7E" w:rsidRDefault="00F1737C">
            <w:pPr>
              <w:spacing w:after="0"/>
              <w:jc w:val="center"/>
              <w:rPr>
                <w:rFonts w:ascii="Aptos" w:hAnsi="Aptos"/>
              </w:rPr>
            </w:pPr>
            <w:r w:rsidRPr="00CE5B7E">
              <w:rPr>
                <w:rFonts w:ascii="Aptos" w:hAnsi="Aptos"/>
                <w:sz w:val="18"/>
              </w:rPr>
              <w:t>£1,247</w:t>
            </w:r>
          </w:p>
        </w:tc>
      </w:tr>
    </w:tbl>
    <w:p w14:paraId="4324783E" w14:textId="77777777" w:rsidR="00271EAC" w:rsidRPr="00CE5B7E" w:rsidRDefault="00271EAC">
      <w:pPr>
        <w:spacing w:after="0"/>
        <w:rPr>
          <w:rFonts w:ascii="Aptos" w:hAnsi="Aptos"/>
        </w:rPr>
      </w:pPr>
    </w:p>
    <w:p w14:paraId="6925AD00" w14:textId="77777777" w:rsidR="00271EAC" w:rsidRPr="00CE5B7E" w:rsidRDefault="00F1737C">
      <w:pPr>
        <w:pStyle w:val="Sourcenote"/>
        <w:rPr>
          <w:rFonts w:ascii="Aptos" w:hAnsi="Aptos"/>
        </w:rPr>
      </w:pPr>
      <w:r w:rsidRPr="00CE5B7E">
        <w:rPr>
          <w:rFonts w:ascii="Aptos" w:hAnsi="Aptos"/>
        </w:rPr>
        <w:t>Source: ONS private rental statistics and Valuation Office Agency Local Housing Allowance rates. Rents are modelled estimates, not advertised-rent medians. LHA areas do not follow the district boundary exactly.</w:t>
      </w:r>
    </w:p>
    <w:p w14:paraId="656AC7F8" w14:textId="77777777" w:rsidR="00271EAC" w:rsidRPr="00CE5B7E" w:rsidRDefault="00F1737C">
      <w:pPr>
        <w:pStyle w:val="Heading2"/>
        <w:rPr>
          <w:rFonts w:ascii="Aptos" w:hAnsi="Aptos"/>
        </w:rPr>
      </w:pPr>
      <w:r w:rsidRPr="00CE5B7E">
        <w:rPr>
          <w:rFonts w:ascii="Aptos" w:hAnsi="Aptos"/>
        </w:rPr>
        <w:t>Housing supply and affordable housing</w:t>
      </w:r>
    </w:p>
    <w:p w14:paraId="4C864F4F" w14:textId="77777777" w:rsidR="00271EAC" w:rsidRPr="00CE5B7E" w:rsidRDefault="00F1737C">
      <w:pPr>
        <w:rPr>
          <w:rFonts w:ascii="Aptos" w:hAnsi="Aptos"/>
        </w:rPr>
      </w:pPr>
      <w:r w:rsidRPr="00CE5B7E">
        <w:rPr>
          <w:rFonts w:ascii="Aptos" w:hAnsi="Aptos"/>
        </w:rPr>
        <w:t xml:space="preserve">The district's housing stock grew from 29,151 homes in March 2021 to 30,720 in March 2025. In 2024/25, 400 </w:t>
      </w:r>
      <w:proofErr w:type="gramStart"/>
      <w:r w:rsidRPr="00CE5B7E">
        <w:rPr>
          <w:rFonts w:ascii="Aptos" w:hAnsi="Aptos"/>
        </w:rPr>
        <w:t>net additional</w:t>
      </w:r>
      <w:proofErr w:type="gramEnd"/>
      <w:r w:rsidRPr="00CE5B7E">
        <w:rPr>
          <w:rFonts w:ascii="Aptos" w:hAnsi="Aptos"/>
        </w:rPr>
        <w:t xml:space="preserve"> homes were delivered. This was 70% of the monitoring requirement for that year. National monitoring recorded 190 gross affordable additions across all affordable tenures in 2024/25, although annual delivery can vary sharply as larger developments are completed.</w:t>
      </w:r>
    </w:p>
    <w:p w14:paraId="579D57D9" w14:textId="77777777" w:rsidR="00271EAC" w:rsidRPr="00CE5B7E" w:rsidRDefault="00F1737C">
      <w:pPr>
        <w:rPr>
          <w:rFonts w:ascii="Aptos" w:hAnsi="Aptos"/>
        </w:rPr>
      </w:pPr>
      <w:r w:rsidRPr="00CE5B7E">
        <w:rPr>
          <w:rFonts w:ascii="Aptos" w:hAnsi="Aptos"/>
        </w:rPr>
        <w:t>The 2025 Local Housing Needs Assessment estimated an annual need for 284 affordable homes as part of overall housing delivery. Of these, 203 were needed for households unable to afford private rent and 82 for affordable home ownership, with rounding accounting for the difference. The assessment recommended that most affordable provision should be rented, subject to viability.</w:t>
      </w:r>
      <w:r>
        <w:rPr>
          <w:rFonts w:ascii="Aptos" w:hAnsi="Aptos"/>
        </w:rPr>
        <w:t xml:space="preserve"> Recent growth has not removed the affordability gap, so the mix and tenure of new homes matter as much as overall supply.</w:t>
      </w:r>
    </w:p>
    <w:p w14:paraId="4A400AFB" w14:textId="77777777" w:rsidR="00271EAC" w:rsidRPr="00CE5B7E" w:rsidRDefault="00F1737C">
      <w:pPr>
        <w:rPr>
          <w:rFonts w:ascii="Aptos" w:hAnsi="Aptos"/>
        </w:rPr>
      </w:pPr>
      <w:r w:rsidRPr="00CE5B7E">
        <w:rPr>
          <w:rFonts w:ascii="Aptos" w:hAnsi="Aptos"/>
        </w:rPr>
        <w:t>The latest Council housing-register extract contained 735 active households. The median time in a household's current band was 14.1 months, and almost one third had been in the same band for at least two years.</w:t>
      </w:r>
    </w:p>
    <w:p w14:paraId="15F20F49" w14:textId="77777777" w:rsidR="00271EAC" w:rsidRPr="00CE5B7E" w:rsidRDefault="00F1737C">
      <w:pPr>
        <w:pStyle w:val="Heading2"/>
        <w:rPr>
          <w:rFonts w:ascii="Aptos" w:hAnsi="Aptos"/>
        </w:rPr>
      </w:pPr>
      <w:r w:rsidRPr="00CE5B7E">
        <w:rPr>
          <w:rFonts w:ascii="Aptos" w:hAnsi="Aptos"/>
        </w:rPr>
        <w:t>Specific housing needs</w:t>
      </w:r>
    </w:p>
    <w:p w14:paraId="02411DAB" w14:textId="77777777" w:rsidR="00271EAC" w:rsidRPr="00CE5B7E" w:rsidRDefault="00F1737C">
      <w:pPr>
        <w:rPr>
          <w:rFonts w:ascii="Aptos" w:hAnsi="Aptos"/>
        </w:rPr>
      </w:pPr>
      <w:r w:rsidRPr="00CE5B7E">
        <w:rPr>
          <w:rFonts w:ascii="Aptos" w:hAnsi="Aptos"/>
        </w:rPr>
        <w:t>The Local Housing Needs Assessment estimates that by 2044 the district will need 828 retirement or sheltered homes, 500 extra-care homes, 202 care bedspaces and 291 wheelchair-user homes. These are planning estimates, not targets for this strategy period, but they show the scale and direction of future need. Timely adaptations to existing homes will remain equally relevant because most older and disabled residents will continue to live in their current homes.</w:t>
      </w:r>
    </w:p>
    <w:p w14:paraId="171BDACD" w14:textId="77777777" w:rsidR="00271EAC" w:rsidRPr="00CE5B7E" w:rsidRDefault="00F1737C">
      <w:pPr>
        <w:rPr>
          <w:rFonts w:ascii="Aptos" w:hAnsi="Aptos"/>
        </w:rPr>
      </w:pPr>
      <w:r w:rsidRPr="00CE5B7E">
        <w:rPr>
          <w:rFonts w:ascii="Aptos" w:hAnsi="Aptos"/>
        </w:rPr>
        <w:br w:type="page"/>
      </w:r>
    </w:p>
    <w:p w14:paraId="22A5AE5D" w14:textId="77777777" w:rsidR="00271EAC" w:rsidRPr="00CE5B7E" w:rsidRDefault="00F1737C">
      <w:pPr>
        <w:pStyle w:val="Heading1"/>
        <w:rPr>
          <w:rFonts w:ascii="Aptos" w:hAnsi="Aptos"/>
        </w:rPr>
      </w:pPr>
      <w:r w:rsidRPr="00CE5B7E">
        <w:rPr>
          <w:rFonts w:ascii="Aptos" w:hAnsi="Aptos"/>
        </w:rPr>
        <w:lastRenderedPageBreak/>
        <w:t>Demand for homelessness services</w:t>
      </w:r>
    </w:p>
    <w:p w14:paraId="491EDFA1" w14:textId="77777777" w:rsidR="00271EAC" w:rsidRPr="00CE5B7E" w:rsidRDefault="00F1737C">
      <w:pPr>
        <w:rPr>
          <w:rFonts w:ascii="Aptos" w:hAnsi="Aptos"/>
        </w:rPr>
      </w:pPr>
      <w:r w:rsidRPr="00CE5B7E">
        <w:rPr>
          <w:rFonts w:ascii="Aptos" w:hAnsi="Aptos"/>
        </w:rPr>
        <w:t xml:space="preserve">Homelessness is not limited to rough </w:t>
      </w:r>
      <w:proofErr w:type="gramStart"/>
      <w:r w:rsidRPr="00CE5B7E">
        <w:rPr>
          <w:rFonts w:ascii="Aptos" w:hAnsi="Aptos"/>
        </w:rPr>
        <w:t>sleeping</w:t>
      </w:r>
      <w:proofErr w:type="gramEnd"/>
      <w:r w:rsidRPr="00CE5B7E">
        <w:rPr>
          <w:rFonts w:ascii="Aptos" w:hAnsi="Aptos"/>
        </w:rPr>
        <w:t>. It includes people who have no accommodation, cannot legally remain where they are living, or cannot reasonably be expected to continue living there. It also includes eligible households threatened with homelessness.</w:t>
      </w:r>
    </w:p>
    <w:p w14:paraId="40760605" w14:textId="77777777" w:rsidR="00271EAC" w:rsidRPr="00CE5B7E" w:rsidRDefault="00F1737C">
      <w:pPr>
        <w:rPr>
          <w:rFonts w:ascii="Aptos" w:hAnsi="Aptos"/>
        </w:rPr>
      </w:pPr>
      <w:r w:rsidRPr="00CE5B7E">
        <w:rPr>
          <w:rFonts w:ascii="Aptos" w:hAnsi="Aptos"/>
        </w:rPr>
        <w:t>Across 2025/26, the Council completed 250 initial homelessness assessments. It owed a prevention duty to 91 households threatened with homelessness, a relief duty to 95 households already homeless, and accepted a main housing duty for 57 households. These are different stages in the statutory process and should not be added together as separate households.</w:t>
      </w:r>
    </w:p>
    <w:p w14:paraId="0AD1C230" w14:textId="77777777" w:rsidR="00271EAC" w:rsidRPr="00CE5B7E" w:rsidRDefault="00F1737C">
      <w:pPr>
        <w:spacing w:before="80" w:after="80"/>
        <w:jc w:val="center"/>
        <w:rPr>
          <w:rFonts w:ascii="Aptos" w:hAnsi="Aptos"/>
        </w:rPr>
      </w:pPr>
      <w:r w:rsidRPr="00CE5B7E">
        <w:rPr>
          <w:rFonts w:ascii="Aptos" w:hAnsi="Aptos"/>
          <w:noProof/>
        </w:rPr>
        <w:drawing>
          <wp:inline distT="0" distB="0" distL="0" distR="0" wp14:anchorId="64468A0E" wp14:editId="012B1694">
            <wp:extent cx="5943600" cy="2144742"/>
            <wp:effectExtent l="0" t="0" r="0" b="0"/>
            <wp:docPr id="1" name="Picture 1" descr="Line chart showing initial homelessness assessments rising from 173 in 2020/21 to 250 in 2025/26, with fluctuations in the intervening years." title="Initial homelessness assessments from 2020/21 to 2025/26">
              <a:extLst xmlns:a="http://schemas.openxmlformats.org/drawingml/2006/main">
                <a:ext uri="{FF2B5EF4-FFF2-40B4-BE49-F238E27FC236}">
                  <a16:creationId xmlns:a16="http://schemas.microsoft.com/office/drawing/2014/main" id="{0D88CBFD-E268-485A-8374-0FD436AB5F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lessness_assessments.png"/>
                    <pic:cNvPicPr/>
                  </pic:nvPicPr>
                  <pic:blipFill>
                    <a:blip r:embed="rId10"/>
                    <a:stretch>
                      <a:fillRect/>
                    </a:stretch>
                  </pic:blipFill>
                  <pic:spPr>
                    <a:xfrm>
                      <a:off x="0" y="0"/>
                      <a:ext cx="5943600" cy="2144742"/>
                    </a:xfrm>
                    <a:prstGeom prst="rect">
                      <a:avLst/>
                    </a:prstGeom>
                  </pic:spPr>
                </pic:pic>
              </a:graphicData>
            </a:graphic>
          </wp:inline>
        </w:drawing>
      </w:r>
    </w:p>
    <w:p w14:paraId="2C137325" w14:textId="77777777" w:rsidR="00271EAC" w:rsidRPr="00CE5B7E" w:rsidRDefault="00F1737C">
      <w:pPr>
        <w:pStyle w:val="Sourcenote"/>
        <w:rPr>
          <w:rFonts w:ascii="Aptos" w:hAnsi="Aptos"/>
        </w:rPr>
      </w:pPr>
      <w:r w:rsidRPr="00CE5B7E">
        <w:rPr>
          <w:rFonts w:ascii="Aptos" w:hAnsi="Aptos"/>
        </w:rPr>
        <w:t xml:space="preserve">Source: MHCLG </w:t>
      </w:r>
      <w:proofErr w:type="gramStart"/>
      <w:r w:rsidRPr="00CE5B7E">
        <w:rPr>
          <w:rFonts w:ascii="Aptos" w:hAnsi="Aptos"/>
        </w:rPr>
        <w:t>statutory</w:t>
      </w:r>
      <w:proofErr w:type="gramEnd"/>
      <w:r w:rsidRPr="00CE5B7E">
        <w:rPr>
          <w:rFonts w:ascii="Aptos" w:hAnsi="Aptos"/>
        </w:rPr>
        <w:t xml:space="preserve"> homelessness </w:t>
      </w:r>
      <w:proofErr w:type="gramStart"/>
      <w:r w:rsidRPr="00CE5B7E">
        <w:rPr>
          <w:rFonts w:ascii="Aptos" w:hAnsi="Aptos"/>
        </w:rPr>
        <w:t>statistics</w:t>
      </w:r>
      <w:proofErr w:type="gramEnd"/>
      <w:r w:rsidRPr="00CE5B7E">
        <w:rPr>
          <w:rFonts w:ascii="Aptos" w:hAnsi="Aptos"/>
        </w:rPr>
        <w:t xml:space="preserve"> and Maldon District Council data. The 2024/25 total combines a locally generated first-quarter extract with published data for the remaining nine months.</w:t>
      </w:r>
    </w:p>
    <w:p w14:paraId="013525C4" w14:textId="77777777" w:rsidR="00271EAC" w:rsidRPr="00CE5B7E" w:rsidRDefault="00F1737C">
      <w:pPr>
        <w:rPr>
          <w:rFonts w:ascii="Aptos" w:hAnsi="Aptos"/>
        </w:rPr>
      </w:pPr>
      <w:r w:rsidRPr="00CE5B7E">
        <w:rPr>
          <w:rFonts w:ascii="Aptos" w:hAnsi="Aptos"/>
        </w:rPr>
        <w:t xml:space="preserve">The latest total is the highest in the six-year series and 20.8% above 2024/25. If assessments rose only in line with projected household growth, the total would reach about 265 by 2030/31. This is a planning baseline, not a forecast. Affordability, </w:t>
      </w:r>
      <w:proofErr w:type="gramStart"/>
      <w:r w:rsidRPr="00CE5B7E">
        <w:rPr>
          <w:rFonts w:ascii="Aptos" w:hAnsi="Aptos"/>
        </w:rPr>
        <w:t>prevention</w:t>
      </w:r>
      <w:proofErr w:type="gramEnd"/>
      <w:r w:rsidRPr="00CE5B7E">
        <w:rPr>
          <w:rFonts w:ascii="Aptos" w:hAnsi="Aptos"/>
        </w:rPr>
        <w:t xml:space="preserve"> work, housing supply and policy changes could all alter demand.</w:t>
      </w:r>
    </w:p>
    <w:p w14:paraId="6EF68314" w14:textId="77777777" w:rsidR="00271EAC" w:rsidRPr="00CE5B7E" w:rsidRDefault="00F1737C">
      <w:pPr>
        <w:pStyle w:val="Heading2"/>
        <w:rPr>
          <w:rFonts w:ascii="Aptos" w:hAnsi="Aptos"/>
        </w:rPr>
      </w:pPr>
      <w:r w:rsidRPr="00CE5B7E">
        <w:rPr>
          <w:rFonts w:ascii="Aptos" w:hAnsi="Aptos"/>
        </w:rPr>
        <w:t>Why households lose their homes</w:t>
      </w:r>
    </w:p>
    <w:p w14:paraId="020F7CEC" w14:textId="77777777" w:rsidR="00271EAC" w:rsidRPr="00CE5B7E" w:rsidRDefault="00F1737C">
      <w:pPr>
        <w:spacing w:before="80" w:after="80"/>
        <w:jc w:val="center"/>
        <w:rPr>
          <w:rFonts w:ascii="Aptos" w:hAnsi="Aptos"/>
        </w:rPr>
      </w:pPr>
      <w:r w:rsidRPr="00CE5B7E">
        <w:rPr>
          <w:rFonts w:ascii="Aptos" w:hAnsi="Aptos"/>
          <w:noProof/>
        </w:rPr>
        <w:drawing>
          <wp:inline distT="0" distB="0" distL="0" distR="0" wp14:anchorId="6D0DD6EC" wp14:editId="46FB0D8D">
            <wp:extent cx="5897880" cy="2159787"/>
            <wp:effectExtent l="0" t="0" r="0" b="0"/>
            <wp:docPr id="2" name="Picture 2" descr="Horizontal bar chart showing 57 households affected by the end of a private rented tenancy, 52 by family or friends being unable to accommodate them, and 31 by domestic abuse." title="Main recorded causes of homelessness in 2025/26">
              <a:extLst xmlns:a="http://schemas.openxmlformats.org/drawingml/2006/main">
                <a:ext uri="{FF2B5EF4-FFF2-40B4-BE49-F238E27FC236}">
                  <a16:creationId xmlns:a16="http://schemas.microsoft.com/office/drawing/2014/main" id="{C47F777F-10F2-431D-A8F8-4D3741FFDF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_causes.png"/>
                    <pic:cNvPicPr/>
                  </pic:nvPicPr>
                  <pic:blipFill>
                    <a:blip r:embed="rId11"/>
                    <a:stretch>
                      <a:fillRect/>
                    </a:stretch>
                  </pic:blipFill>
                  <pic:spPr>
                    <a:xfrm>
                      <a:off x="0" y="0"/>
                      <a:ext cx="5897880" cy="2159787"/>
                    </a:xfrm>
                    <a:prstGeom prst="rect">
                      <a:avLst/>
                    </a:prstGeom>
                  </pic:spPr>
                </pic:pic>
              </a:graphicData>
            </a:graphic>
          </wp:inline>
        </w:drawing>
      </w:r>
    </w:p>
    <w:p w14:paraId="273822E8" w14:textId="77777777" w:rsidR="00271EAC" w:rsidRPr="00CE5B7E" w:rsidRDefault="00F1737C">
      <w:pPr>
        <w:rPr>
          <w:rFonts w:ascii="Aptos" w:hAnsi="Aptos"/>
        </w:rPr>
      </w:pPr>
      <w:r w:rsidRPr="00CE5B7E">
        <w:rPr>
          <w:rFonts w:ascii="Aptos" w:hAnsi="Aptos"/>
        </w:rPr>
        <w:t>These three causes accounted for three quarters of the 186 prevention and relief duties owed in 2025/26. Each requires a different response: work with tenants and landlords, planned moves or mediation when informal arrangements break down, and a safe specialist response to domestic abuse.</w:t>
      </w:r>
    </w:p>
    <w:p w14:paraId="2F9FE877" w14:textId="77777777" w:rsidR="00271EAC" w:rsidRPr="00CE5B7E" w:rsidRDefault="00F1737C">
      <w:pPr>
        <w:rPr>
          <w:rFonts w:ascii="Aptos" w:hAnsi="Aptos"/>
        </w:rPr>
      </w:pPr>
      <w:r w:rsidRPr="00CE5B7E">
        <w:rPr>
          <w:rFonts w:ascii="Aptos" w:hAnsi="Aptos"/>
        </w:rPr>
        <w:br w:type="page"/>
      </w:r>
    </w:p>
    <w:p w14:paraId="24A5E0F8" w14:textId="77777777" w:rsidR="00271EAC" w:rsidRPr="00CE5B7E" w:rsidRDefault="00F1737C">
      <w:pPr>
        <w:pStyle w:val="Heading1"/>
        <w:rPr>
          <w:rFonts w:ascii="Aptos" w:hAnsi="Aptos"/>
        </w:rPr>
      </w:pPr>
      <w:r w:rsidRPr="00CE5B7E">
        <w:rPr>
          <w:rFonts w:ascii="Aptos" w:hAnsi="Aptos"/>
        </w:rPr>
        <w:lastRenderedPageBreak/>
        <w:t>Who needs help</w:t>
      </w:r>
    </w:p>
    <w:p w14:paraId="0AB4455E" w14:textId="77777777" w:rsidR="00271EAC" w:rsidRPr="00CE5B7E" w:rsidRDefault="00F1737C">
      <w:pPr>
        <w:rPr>
          <w:rFonts w:ascii="Aptos" w:hAnsi="Aptos"/>
        </w:rPr>
      </w:pPr>
      <w:r w:rsidRPr="00CE5B7E">
        <w:rPr>
          <w:rFonts w:ascii="Aptos" w:hAnsi="Aptos"/>
        </w:rPr>
        <w:t>There is no single typical household experiencing homelessness. Of the 186 households owed a prevention or relief duty in 2025/26, 104 were single adults and 65 were families with children. This included 40 lone-parent families and 25 couples with children. Thirty-one main applicants were aged 16 to 24 and 22 were aged 65 or over.</w:t>
      </w:r>
    </w:p>
    <w:p w14:paraId="40D5CE43" w14:textId="77777777" w:rsidR="00271EAC" w:rsidRPr="00CE5B7E" w:rsidRDefault="00F1737C">
      <w:pPr>
        <w:rPr>
          <w:rFonts w:ascii="Aptos" w:hAnsi="Aptos"/>
        </w:rPr>
      </w:pPr>
      <w:r w:rsidRPr="00CE5B7E">
        <w:rPr>
          <w:rFonts w:ascii="Aptos" w:hAnsi="Aptos"/>
        </w:rPr>
        <w:t>Support needs are common and often overlap. At least one support need was recorded for 160 households, with 317 individual needs recorded in total.</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520"/>
        <w:gridCol w:w="2835"/>
      </w:tblGrid>
      <w:tr w:rsidR="00271EAC" w:rsidRPr="00CE5B7E" w14:paraId="3ED7CF45" w14:textId="77777777">
        <w:trPr>
          <w:tblHeader/>
          <w:jc w:val="center"/>
        </w:trPr>
        <w:tc>
          <w:tcPr>
            <w:tcW w:w="6520" w:type="dxa"/>
            <w:shd w:val="clear" w:color="auto" w:fill="1F4E79"/>
            <w:tcMar>
              <w:top w:w="120" w:type="dxa"/>
              <w:left w:w="120" w:type="dxa"/>
              <w:bottom w:w="120" w:type="dxa"/>
              <w:right w:w="120" w:type="dxa"/>
            </w:tcMar>
            <w:vAlign w:val="center"/>
          </w:tcPr>
          <w:p w14:paraId="6556B322" w14:textId="77777777" w:rsidR="00271EAC" w:rsidRPr="00CE5B7E" w:rsidRDefault="00F1737C">
            <w:pPr>
              <w:spacing w:after="0"/>
              <w:rPr>
                <w:rFonts w:ascii="Aptos" w:hAnsi="Aptos"/>
              </w:rPr>
            </w:pPr>
            <w:r w:rsidRPr="00CE5B7E">
              <w:rPr>
                <w:rFonts w:ascii="Aptos" w:hAnsi="Aptos"/>
                <w:b/>
                <w:color w:val="FFFFFF"/>
                <w:sz w:val="18"/>
              </w:rPr>
              <w:t>Recorded support need</w:t>
            </w:r>
          </w:p>
        </w:tc>
        <w:tc>
          <w:tcPr>
            <w:tcW w:w="2835" w:type="dxa"/>
            <w:shd w:val="clear" w:color="auto" w:fill="1F4E79"/>
            <w:tcMar>
              <w:top w:w="120" w:type="dxa"/>
              <w:left w:w="120" w:type="dxa"/>
              <w:bottom w:w="120" w:type="dxa"/>
              <w:right w:w="120" w:type="dxa"/>
            </w:tcMar>
            <w:vAlign w:val="center"/>
          </w:tcPr>
          <w:p w14:paraId="4A23148A" w14:textId="77777777" w:rsidR="00271EAC" w:rsidRPr="00CE5B7E" w:rsidRDefault="00F1737C">
            <w:pPr>
              <w:spacing w:after="0"/>
              <w:jc w:val="center"/>
              <w:rPr>
                <w:rFonts w:ascii="Aptos" w:hAnsi="Aptos"/>
              </w:rPr>
            </w:pPr>
            <w:r w:rsidRPr="00CE5B7E">
              <w:rPr>
                <w:rFonts w:ascii="Aptos" w:hAnsi="Aptos"/>
                <w:b/>
                <w:color w:val="FFFFFF"/>
                <w:sz w:val="18"/>
              </w:rPr>
              <w:t>Households in 2025/26</w:t>
            </w:r>
          </w:p>
        </w:tc>
      </w:tr>
      <w:tr w:rsidR="00271EAC" w:rsidRPr="00CE5B7E" w14:paraId="03178877" w14:textId="77777777">
        <w:trPr>
          <w:jc w:val="center"/>
        </w:trPr>
        <w:tc>
          <w:tcPr>
            <w:tcW w:w="6520" w:type="dxa"/>
            <w:shd w:val="clear" w:color="auto" w:fill="FFFFFF"/>
            <w:tcMar>
              <w:top w:w="110" w:type="dxa"/>
              <w:left w:w="120" w:type="dxa"/>
              <w:bottom w:w="110" w:type="dxa"/>
              <w:right w:w="120" w:type="dxa"/>
            </w:tcMar>
            <w:vAlign w:val="center"/>
          </w:tcPr>
          <w:p w14:paraId="78375B6F" w14:textId="77777777" w:rsidR="00271EAC" w:rsidRPr="00CE5B7E" w:rsidRDefault="00F1737C">
            <w:pPr>
              <w:spacing w:after="0"/>
              <w:rPr>
                <w:rFonts w:ascii="Aptos" w:hAnsi="Aptos"/>
              </w:rPr>
            </w:pPr>
            <w:r w:rsidRPr="00CE5B7E">
              <w:rPr>
                <w:rFonts w:ascii="Aptos" w:hAnsi="Aptos"/>
                <w:sz w:val="18"/>
              </w:rPr>
              <w:t>Mental health</w:t>
            </w:r>
          </w:p>
        </w:tc>
        <w:tc>
          <w:tcPr>
            <w:tcW w:w="2835" w:type="dxa"/>
            <w:shd w:val="clear" w:color="auto" w:fill="FFFFFF"/>
            <w:tcMar>
              <w:top w:w="110" w:type="dxa"/>
              <w:left w:w="120" w:type="dxa"/>
              <w:bottom w:w="110" w:type="dxa"/>
              <w:right w:w="120" w:type="dxa"/>
            </w:tcMar>
            <w:vAlign w:val="center"/>
          </w:tcPr>
          <w:p w14:paraId="7EBBBB90" w14:textId="77777777" w:rsidR="00271EAC" w:rsidRPr="00CE5B7E" w:rsidRDefault="00F1737C">
            <w:pPr>
              <w:spacing w:after="0"/>
              <w:jc w:val="center"/>
              <w:rPr>
                <w:rFonts w:ascii="Aptos" w:hAnsi="Aptos"/>
              </w:rPr>
            </w:pPr>
            <w:r w:rsidRPr="00CE5B7E">
              <w:rPr>
                <w:rFonts w:ascii="Aptos" w:hAnsi="Aptos"/>
                <w:sz w:val="18"/>
              </w:rPr>
              <w:t>104</w:t>
            </w:r>
          </w:p>
        </w:tc>
      </w:tr>
      <w:tr w:rsidR="00271EAC" w:rsidRPr="00CE5B7E" w14:paraId="22211B75" w14:textId="77777777">
        <w:trPr>
          <w:jc w:val="center"/>
        </w:trPr>
        <w:tc>
          <w:tcPr>
            <w:tcW w:w="6520" w:type="dxa"/>
            <w:shd w:val="clear" w:color="auto" w:fill="EEF4F8"/>
            <w:tcMar>
              <w:top w:w="110" w:type="dxa"/>
              <w:left w:w="120" w:type="dxa"/>
              <w:bottom w:w="110" w:type="dxa"/>
              <w:right w:w="120" w:type="dxa"/>
            </w:tcMar>
            <w:vAlign w:val="center"/>
          </w:tcPr>
          <w:p w14:paraId="38DAE82A" w14:textId="77777777" w:rsidR="00271EAC" w:rsidRPr="00CE5B7E" w:rsidRDefault="00F1737C">
            <w:pPr>
              <w:spacing w:after="0"/>
              <w:rPr>
                <w:rFonts w:ascii="Aptos" w:hAnsi="Aptos"/>
              </w:rPr>
            </w:pPr>
            <w:proofErr w:type="gramStart"/>
            <w:r w:rsidRPr="00CE5B7E">
              <w:rPr>
                <w:rFonts w:ascii="Aptos" w:hAnsi="Aptos"/>
                <w:sz w:val="18"/>
              </w:rPr>
              <w:t>Physical</w:t>
            </w:r>
            <w:proofErr w:type="gramEnd"/>
            <w:r w:rsidRPr="00CE5B7E">
              <w:rPr>
                <w:rFonts w:ascii="Aptos" w:hAnsi="Aptos"/>
                <w:sz w:val="18"/>
              </w:rPr>
              <w:t xml:space="preserve"> ill health or disability</w:t>
            </w:r>
          </w:p>
        </w:tc>
        <w:tc>
          <w:tcPr>
            <w:tcW w:w="2835" w:type="dxa"/>
            <w:shd w:val="clear" w:color="auto" w:fill="EEF4F8"/>
            <w:tcMar>
              <w:top w:w="110" w:type="dxa"/>
              <w:left w:w="120" w:type="dxa"/>
              <w:bottom w:w="110" w:type="dxa"/>
              <w:right w:w="120" w:type="dxa"/>
            </w:tcMar>
            <w:vAlign w:val="center"/>
          </w:tcPr>
          <w:p w14:paraId="4109702C" w14:textId="77777777" w:rsidR="00271EAC" w:rsidRPr="00CE5B7E" w:rsidRDefault="00F1737C">
            <w:pPr>
              <w:spacing w:after="0"/>
              <w:jc w:val="center"/>
              <w:rPr>
                <w:rFonts w:ascii="Aptos" w:hAnsi="Aptos"/>
              </w:rPr>
            </w:pPr>
            <w:r w:rsidRPr="00CE5B7E">
              <w:rPr>
                <w:rFonts w:ascii="Aptos" w:hAnsi="Aptos"/>
                <w:sz w:val="18"/>
              </w:rPr>
              <w:t>74</w:t>
            </w:r>
          </w:p>
        </w:tc>
      </w:tr>
      <w:tr w:rsidR="00271EAC" w:rsidRPr="00CE5B7E" w14:paraId="0FD21B7D" w14:textId="77777777">
        <w:trPr>
          <w:jc w:val="center"/>
        </w:trPr>
        <w:tc>
          <w:tcPr>
            <w:tcW w:w="6520" w:type="dxa"/>
            <w:shd w:val="clear" w:color="auto" w:fill="FFFFFF"/>
            <w:tcMar>
              <w:top w:w="110" w:type="dxa"/>
              <w:left w:w="120" w:type="dxa"/>
              <w:bottom w:w="110" w:type="dxa"/>
              <w:right w:w="120" w:type="dxa"/>
            </w:tcMar>
            <w:vAlign w:val="center"/>
          </w:tcPr>
          <w:p w14:paraId="6B271851" w14:textId="77777777" w:rsidR="00271EAC" w:rsidRPr="00CE5B7E" w:rsidRDefault="00F1737C">
            <w:pPr>
              <w:spacing w:after="0"/>
              <w:rPr>
                <w:rFonts w:ascii="Aptos" w:hAnsi="Aptos"/>
              </w:rPr>
            </w:pPr>
            <w:r w:rsidRPr="00CE5B7E">
              <w:rPr>
                <w:rFonts w:ascii="Aptos" w:hAnsi="Aptos"/>
                <w:sz w:val="18"/>
              </w:rPr>
              <w:t>Domestic abuse</w:t>
            </w:r>
          </w:p>
        </w:tc>
        <w:tc>
          <w:tcPr>
            <w:tcW w:w="2835" w:type="dxa"/>
            <w:shd w:val="clear" w:color="auto" w:fill="FFFFFF"/>
            <w:tcMar>
              <w:top w:w="110" w:type="dxa"/>
              <w:left w:w="120" w:type="dxa"/>
              <w:bottom w:w="110" w:type="dxa"/>
              <w:right w:w="120" w:type="dxa"/>
            </w:tcMar>
            <w:vAlign w:val="center"/>
          </w:tcPr>
          <w:p w14:paraId="55DCB9D6" w14:textId="77777777" w:rsidR="00271EAC" w:rsidRPr="00CE5B7E" w:rsidRDefault="00F1737C">
            <w:pPr>
              <w:spacing w:after="0"/>
              <w:jc w:val="center"/>
              <w:rPr>
                <w:rFonts w:ascii="Aptos" w:hAnsi="Aptos"/>
              </w:rPr>
            </w:pPr>
            <w:r w:rsidRPr="00CE5B7E">
              <w:rPr>
                <w:rFonts w:ascii="Aptos" w:hAnsi="Aptos"/>
                <w:sz w:val="18"/>
              </w:rPr>
              <w:t>31</w:t>
            </w:r>
          </w:p>
        </w:tc>
      </w:tr>
    </w:tbl>
    <w:p w14:paraId="0A754E99" w14:textId="77777777" w:rsidR="00271EAC" w:rsidRPr="00CE5B7E" w:rsidRDefault="00271EAC">
      <w:pPr>
        <w:spacing w:after="0"/>
        <w:rPr>
          <w:rFonts w:ascii="Aptos" w:hAnsi="Aptos"/>
        </w:rPr>
      </w:pPr>
    </w:p>
    <w:p w14:paraId="5155024C" w14:textId="77777777" w:rsidR="00271EAC" w:rsidRPr="00CE5B7E" w:rsidRDefault="00F1737C">
      <w:pPr>
        <w:rPr>
          <w:rFonts w:ascii="Aptos" w:hAnsi="Aptos"/>
        </w:rPr>
      </w:pPr>
      <w:r w:rsidRPr="00CE5B7E">
        <w:rPr>
          <w:rFonts w:ascii="Aptos" w:hAnsi="Aptos"/>
        </w:rPr>
        <w:t>Some households had more than one recorded need, so the figures should not be added together. Housing alone cannot resolve every support need, but support is much harder to sustain without somewhere safe and suitable to live.</w:t>
      </w:r>
    </w:p>
    <w:p w14:paraId="4545F8B9" w14:textId="77777777" w:rsidR="00271EAC" w:rsidRPr="00CE5B7E" w:rsidRDefault="00F1737C">
      <w:pPr>
        <w:pStyle w:val="Heading2"/>
        <w:rPr>
          <w:rFonts w:ascii="Aptos" w:hAnsi="Aptos"/>
        </w:rPr>
      </w:pPr>
      <w:proofErr w:type="gramStart"/>
      <w:r w:rsidRPr="00CE5B7E">
        <w:rPr>
          <w:rFonts w:ascii="Aptos" w:hAnsi="Aptos"/>
        </w:rPr>
        <w:t>Prevention</w:t>
      </w:r>
      <w:proofErr w:type="gramEnd"/>
      <w:r w:rsidRPr="00CE5B7E">
        <w:rPr>
          <w:rFonts w:ascii="Aptos" w:hAnsi="Aptos"/>
        </w:rPr>
        <w:t xml:space="preserve"> relief and moving on</w:t>
      </w:r>
    </w:p>
    <w:p w14:paraId="2863A641" w14:textId="77777777" w:rsidR="00271EAC" w:rsidRPr="00CE5B7E" w:rsidRDefault="00F1737C">
      <w:pPr>
        <w:rPr>
          <w:rFonts w:ascii="Aptos" w:hAnsi="Aptos"/>
        </w:rPr>
      </w:pPr>
      <w:r w:rsidRPr="00CE5B7E">
        <w:rPr>
          <w:rFonts w:ascii="Aptos" w:hAnsi="Aptos"/>
        </w:rPr>
        <w:t>Of the 227 prevention and relief duties that ended in 2025/26, 87 ended with accommodation secured, a combined rate of 38.3%. This should not be read as a simple pass or fail rate. Duties also end because a household moves into the main housing duty, contact is lost, an application is withdrawn or eligibility changes.</w:t>
      </w:r>
    </w:p>
    <w:p w14:paraId="11EDC550" w14:textId="77777777" w:rsidR="00271EAC" w:rsidRPr="00CE5B7E" w:rsidRDefault="00F1737C">
      <w:pPr>
        <w:rPr>
          <w:rFonts w:ascii="Aptos" w:hAnsi="Aptos"/>
        </w:rPr>
      </w:pPr>
      <w:r w:rsidRPr="00CE5B7E">
        <w:rPr>
          <w:rFonts w:ascii="Aptos" w:hAnsi="Aptos"/>
        </w:rPr>
        <w:t xml:space="preserve">Council move-on information shows that both social and private rented homes are being used. For cases grouped by the date of their original approach, 45 households moved into social housing during 2025/26 and 53 secured private rented accommodation. </w:t>
      </w:r>
      <w:proofErr w:type="gramStart"/>
      <w:r w:rsidRPr="00CE5B7E">
        <w:rPr>
          <w:rFonts w:ascii="Aptos" w:hAnsi="Aptos"/>
        </w:rPr>
        <w:t>Ten</w:t>
      </w:r>
      <w:proofErr w:type="gramEnd"/>
      <w:r w:rsidRPr="00CE5B7E">
        <w:rPr>
          <w:rFonts w:ascii="Aptos" w:hAnsi="Aptos"/>
        </w:rPr>
        <w:t xml:space="preserve"> moved into supported accommodation and 12 went to family or friends.</w:t>
      </w:r>
    </w:p>
    <w:p w14:paraId="69B73C4B" w14:textId="77777777" w:rsidR="00271EAC" w:rsidRPr="00CE5B7E" w:rsidRDefault="00F1737C">
      <w:pPr>
        <w:rPr>
          <w:rFonts w:ascii="Aptos" w:hAnsi="Aptos"/>
        </w:rPr>
      </w:pPr>
      <w:r w:rsidRPr="00CE5B7E">
        <w:rPr>
          <w:rFonts w:ascii="Aptos" w:hAnsi="Aptos"/>
        </w:rPr>
        <w:t>A fuller picture will require consistent measures of repeat homelessness, loss of contact and whether accommodation is sustained. These will be addressed in the statutory review and delivery arrangements rather than inferred from the headline figures.</w:t>
      </w:r>
    </w:p>
    <w:p w14:paraId="3590E5DC" w14:textId="77777777" w:rsidR="00271EAC" w:rsidRPr="00CE5B7E" w:rsidRDefault="00F1737C">
      <w:pPr>
        <w:rPr>
          <w:rFonts w:ascii="Aptos" w:hAnsi="Aptos"/>
        </w:rPr>
      </w:pPr>
      <w:r w:rsidRPr="00CE5B7E">
        <w:rPr>
          <w:rFonts w:ascii="Aptos" w:hAnsi="Aptos"/>
        </w:rPr>
        <w:br w:type="page"/>
      </w:r>
    </w:p>
    <w:p w14:paraId="12CEEFE2" w14:textId="38E3CCB5" w:rsidR="00271EAC" w:rsidRPr="00CE5B7E" w:rsidRDefault="00F1737C">
      <w:pPr>
        <w:pStyle w:val="Heading1"/>
        <w:rPr>
          <w:rFonts w:ascii="Aptos" w:hAnsi="Aptos"/>
        </w:rPr>
      </w:pPr>
      <w:r>
        <w:rPr>
          <w:rFonts w:ascii="Aptos" w:hAnsi="Aptos"/>
        </w:rPr>
        <w:lastRenderedPageBreak/>
        <w:t>Temporary accommodation and out-of-district placements</w:t>
      </w:r>
    </w:p>
    <w:p w14:paraId="27D5651B" w14:textId="77777777" w:rsidR="00271EAC" w:rsidRPr="00CE5B7E" w:rsidRDefault="00F1737C">
      <w:pPr>
        <w:rPr>
          <w:rFonts w:ascii="Aptos" w:hAnsi="Aptos"/>
        </w:rPr>
      </w:pPr>
      <w:r w:rsidRPr="00CE5B7E">
        <w:rPr>
          <w:rFonts w:ascii="Aptos" w:hAnsi="Aptos"/>
        </w:rPr>
        <w:t xml:space="preserve">Temporary accommodation is an essential safety net, but it is not a settled home. </w:t>
      </w:r>
      <w:proofErr w:type="gramStart"/>
      <w:r w:rsidRPr="00CE5B7E">
        <w:rPr>
          <w:rFonts w:ascii="Aptos" w:hAnsi="Aptos"/>
        </w:rPr>
        <w:t>At</w:t>
      </w:r>
      <w:proofErr w:type="gramEnd"/>
      <w:r w:rsidRPr="00CE5B7E">
        <w:rPr>
          <w:rFonts w:ascii="Aptos" w:hAnsi="Aptos"/>
        </w:rPr>
        <w:t xml:space="preserve"> 31 March 2026, 41 households were living in temporary accommodation, compared with 39 a year earlier.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520"/>
        <w:gridCol w:w="2835"/>
      </w:tblGrid>
      <w:tr w:rsidR="00271EAC" w:rsidRPr="00CE5B7E" w14:paraId="40FE03E9" w14:textId="77777777">
        <w:trPr>
          <w:tblHeader/>
          <w:jc w:val="center"/>
        </w:trPr>
        <w:tc>
          <w:tcPr>
            <w:tcW w:w="6520" w:type="dxa"/>
            <w:shd w:val="clear" w:color="auto" w:fill="1F4E79"/>
            <w:tcMar>
              <w:top w:w="120" w:type="dxa"/>
              <w:left w:w="120" w:type="dxa"/>
              <w:bottom w:w="120" w:type="dxa"/>
              <w:right w:w="120" w:type="dxa"/>
            </w:tcMar>
            <w:vAlign w:val="center"/>
          </w:tcPr>
          <w:p w14:paraId="40947288" w14:textId="77777777" w:rsidR="00271EAC" w:rsidRPr="00CE5B7E" w:rsidRDefault="00F1737C">
            <w:pPr>
              <w:spacing w:after="0"/>
              <w:rPr>
                <w:rFonts w:ascii="Aptos" w:hAnsi="Aptos"/>
              </w:rPr>
            </w:pPr>
            <w:r w:rsidRPr="00CE5B7E">
              <w:rPr>
                <w:rFonts w:ascii="Aptos" w:hAnsi="Aptos"/>
                <w:b/>
                <w:color w:val="FFFFFF"/>
                <w:sz w:val="18"/>
              </w:rPr>
              <w:t>Temporary accommodation indicator</w:t>
            </w:r>
          </w:p>
        </w:tc>
        <w:tc>
          <w:tcPr>
            <w:tcW w:w="2835" w:type="dxa"/>
            <w:shd w:val="clear" w:color="auto" w:fill="1F4E79"/>
            <w:tcMar>
              <w:top w:w="120" w:type="dxa"/>
              <w:left w:w="120" w:type="dxa"/>
              <w:bottom w:w="120" w:type="dxa"/>
              <w:right w:w="120" w:type="dxa"/>
            </w:tcMar>
            <w:vAlign w:val="center"/>
          </w:tcPr>
          <w:p w14:paraId="19FAAE50" w14:textId="77777777" w:rsidR="00271EAC" w:rsidRPr="00CE5B7E" w:rsidRDefault="00F1737C">
            <w:pPr>
              <w:spacing w:after="0"/>
              <w:jc w:val="center"/>
              <w:rPr>
                <w:rFonts w:ascii="Aptos" w:hAnsi="Aptos"/>
              </w:rPr>
            </w:pPr>
            <w:r w:rsidRPr="00CE5B7E">
              <w:rPr>
                <w:rFonts w:ascii="Aptos" w:hAnsi="Aptos"/>
                <w:b/>
                <w:color w:val="FFFFFF"/>
                <w:sz w:val="18"/>
              </w:rPr>
              <w:t xml:space="preserve">Position </w:t>
            </w:r>
            <w:proofErr w:type="gramStart"/>
            <w:r w:rsidRPr="00CE5B7E">
              <w:rPr>
                <w:rFonts w:ascii="Aptos" w:hAnsi="Aptos"/>
                <w:b/>
                <w:color w:val="FFFFFF"/>
                <w:sz w:val="18"/>
              </w:rPr>
              <w:t>at</w:t>
            </w:r>
            <w:proofErr w:type="gramEnd"/>
            <w:r w:rsidRPr="00CE5B7E">
              <w:rPr>
                <w:rFonts w:ascii="Aptos" w:hAnsi="Aptos"/>
                <w:b/>
                <w:color w:val="FFFFFF"/>
                <w:sz w:val="18"/>
              </w:rPr>
              <w:t xml:space="preserve"> 31 March 2026</w:t>
            </w:r>
          </w:p>
        </w:tc>
      </w:tr>
      <w:tr w:rsidR="00271EAC" w:rsidRPr="00CE5B7E" w14:paraId="7FD75BDA" w14:textId="77777777">
        <w:trPr>
          <w:jc w:val="center"/>
        </w:trPr>
        <w:tc>
          <w:tcPr>
            <w:tcW w:w="6520" w:type="dxa"/>
            <w:shd w:val="clear" w:color="auto" w:fill="FFFFFF"/>
            <w:tcMar>
              <w:top w:w="110" w:type="dxa"/>
              <w:left w:w="120" w:type="dxa"/>
              <w:bottom w:w="110" w:type="dxa"/>
              <w:right w:w="120" w:type="dxa"/>
            </w:tcMar>
            <w:vAlign w:val="center"/>
          </w:tcPr>
          <w:p w14:paraId="6BE8DB1B" w14:textId="77777777" w:rsidR="00271EAC" w:rsidRPr="00CE5B7E" w:rsidRDefault="00F1737C">
            <w:pPr>
              <w:spacing w:after="0"/>
              <w:rPr>
                <w:rFonts w:ascii="Aptos" w:hAnsi="Aptos"/>
              </w:rPr>
            </w:pPr>
            <w:r w:rsidRPr="00CE5B7E">
              <w:rPr>
                <w:rFonts w:ascii="Aptos" w:hAnsi="Aptos"/>
                <w:sz w:val="18"/>
              </w:rPr>
              <w:t>Households in temporary accommodation</w:t>
            </w:r>
          </w:p>
        </w:tc>
        <w:tc>
          <w:tcPr>
            <w:tcW w:w="2835" w:type="dxa"/>
            <w:shd w:val="clear" w:color="auto" w:fill="FFFFFF"/>
            <w:tcMar>
              <w:top w:w="110" w:type="dxa"/>
              <w:left w:w="120" w:type="dxa"/>
              <w:bottom w:w="110" w:type="dxa"/>
              <w:right w:w="120" w:type="dxa"/>
            </w:tcMar>
            <w:vAlign w:val="center"/>
          </w:tcPr>
          <w:p w14:paraId="5F2A965D" w14:textId="77777777" w:rsidR="00271EAC" w:rsidRPr="00CE5B7E" w:rsidRDefault="00F1737C">
            <w:pPr>
              <w:spacing w:after="0"/>
              <w:jc w:val="center"/>
              <w:rPr>
                <w:rFonts w:ascii="Aptos" w:hAnsi="Aptos"/>
              </w:rPr>
            </w:pPr>
            <w:r w:rsidRPr="00CE5B7E">
              <w:rPr>
                <w:rFonts w:ascii="Aptos" w:hAnsi="Aptos"/>
                <w:sz w:val="18"/>
              </w:rPr>
              <w:t>41</w:t>
            </w:r>
          </w:p>
        </w:tc>
      </w:tr>
      <w:tr w:rsidR="00271EAC" w:rsidRPr="00CE5B7E" w14:paraId="08B3387A" w14:textId="77777777">
        <w:trPr>
          <w:jc w:val="center"/>
        </w:trPr>
        <w:tc>
          <w:tcPr>
            <w:tcW w:w="6520" w:type="dxa"/>
            <w:shd w:val="clear" w:color="auto" w:fill="EEF4F8"/>
            <w:tcMar>
              <w:top w:w="110" w:type="dxa"/>
              <w:left w:w="120" w:type="dxa"/>
              <w:bottom w:w="110" w:type="dxa"/>
              <w:right w:w="120" w:type="dxa"/>
            </w:tcMar>
            <w:vAlign w:val="center"/>
          </w:tcPr>
          <w:p w14:paraId="03EBB3E2" w14:textId="77777777" w:rsidR="00271EAC" w:rsidRPr="00CE5B7E" w:rsidRDefault="00F1737C">
            <w:pPr>
              <w:spacing w:after="0"/>
              <w:rPr>
                <w:rFonts w:ascii="Aptos" w:hAnsi="Aptos"/>
              </w:rPr>
            </w:pPr>
            <w:r w:rsidRPr="00CE5B7E">
              <w:rPr>
                <w:rFonts w:ascii="Aptos" w:hAnsi="Aptos"/>
                <w:sz w:val="18"/>
              </w:rPr>
              <w:t>Households with children</w:t>
            </w:r>
          </w:p>
        </w:tc>
        <w:tc>
          <w:tcPr>
            <w:tcW w:w="2835" w:type="dxa"/>
            <w:shd w:val="clear" w:color="auto" w:fill="EEF4F8"/>
            <w:tcMar>
              <w:top w:w="110" w:type="dxa"/>
              <w:left w:w="120" w:type="dxa"/>
              <w:bottom w:w="110" w:type="dxa"/>
              <w:right w:w="120" w:type="dxa"/>
            </w:tcMar>
            <w:vAlign w:val="center"/>
          </w:tcPr>
          <w:p w14:paraId="046097FB" w14:textId="77777777" w:rsidR="00271EAC" w:rsidRPr="00CE5B7E" w:rsidRDefault="00F1737C">
            <w:pPr>
              <w:spacing w:after="0"/>
              <w:jc w:val="center"/>
              <w:rPr>
                <w:rFonts w:ascii="Aptos" w:hAnsi="Aptos"/>
              </w:rPr>
            </w:pPr>
            <w:r w:rsidRPr="00CE5B7E">
              <w:rPr>
                <w:rFonts w:ascii="Aptos" w:hAnsi="Aptos"/>
                <w:sz w:val="18"/>
              </w:rPr>
              <w:t>24</w:t>
            </w:r>
          </w:p>
        </w:tc>
      </w:tr>
      <w:tr w:rsidR="00271EAC" w:rsidRPr="00CE5B7E" w14:paraId="180DB094" w14:textId="77777777">
        <w:trPr>
          <w:jc w:val="center"/>
        </w:trPr>
        <w:tc>
          <w:tcPr>
            <w:tcW w:w="6520" w:type="dxa"/>
            <w:shd w:val="clear" w:color="auto" w:fill="FFFFFF"/>
            <w:tcMar>
              <w:top w:w="110" w:type="dxa"/>
              <w:left w:w="120" w:type="dxa"/>
              <w:bottom w:w="110" w:type="dxa"/>
              <w:right w:w="120" w:type="dxa"/>
            </w:tcMar>
            <w:vAlign w:val="center"/>
          </w:tcPr>
          <w:p w14:paraId="5E8A4DF3" w14:textId="77777777" w:rsidR="00271EAC" w:rsidRPr="00CE5B7E" w:rsidRDefault="00F1737C">
            <w:pPr>
              <w:spacing w:after="0"/>
              <w:rPr>
                <w:rFonts w:ascii="Aptos" w:hAnsi="Aptos"/>
              </w:rPr>
            </w:pPr>
            <w:r w:rsidRPr="00CE5B7E">
              <w:rPr>
                <w:rFonts w:ascii="Aptos" w:hAnsi="Aptos"/>
                <w:sz w:val="18"/>
              </w:rPr>
              <w:t>Nightly-paid self-contained accommodation</w:t>
            </w:r>
          </w:p>
        </w:tc>
        <w:tc>
          <w:tcPr>
            <w:tcW w:w="2835" w:type="dxa"/>
            <w:shd w:val="clear" w:color="auto" w:fill="FFFFFF"/>
            <w:tcMar>
              <w:top w:w="110" w:type="dxa"/>
              <w:left w:w="120" w:type="dxa"/>
              <w:bottom w:w="110" w:type="dxa"/>
              <w:right w:w="120" w:type="dxa"/>
            </w:tcMar>
            <w:vAlign w:val="center"/>
          </w:tcPr>
          <w:p w14:paraId="7ADD54DE" w14:textId="77777777" w:rsidR="00271EAC" w:rsidRPr="00CE5B7E" w:rsidRDefault="00F1737C">
            <w:pPr>
              <w:spacing w:after="0"/>
              <w:jc w:val="center"/>
              <w:rPr>
                <w:rFonts w:ascii="Aptos" w:hAnsi="Aptos"/>
              </w:rPr>
            </w:pPr>
            <w:r w:rsidRPr="00CE5B7E">
              <w:rPr>
                <w:rFonts w:ascii="Aptos" w:hAnsi="Aptos"/>
                <w:sz w:val="18"/>
              </w:rPr>
              <w:t>31</w:t>
            </w:r>
          </w:p>
        </w:tc>
      </w:tr>
      <w:tr w:rsidR="00271EAC" w:rsidRPr="00CE5B7E" w14:paraId="18BB600E" w14:textId="77777777">
        <w:trPr>
          <w:jc w:val="center"/>
        </w:trPr>
        <w:tc>
          <w:tcPr>
            <w:tcW w:w="6520" w:type="dxa"/>
            <w:shd w:val="clear" w:color="auto" w:fill="EEF4F8"/>
            <w:tcMar>
              <w:top w:w="110" w:type="dxa"/>
              <w:left w:w="120" w:type="dxa"/>
              <w:bottom w:w="110" w:type="dxa"/>
              <w:right w:w="120" w:type="dxa"/>
            </w:tcMar>
            <w:vAlign w:val="center"/>
          </w:tcPr>
          <w:p w14:paraId="603BCED8" w14:textId="77777777" w:rsidR="00271EAC" w:rsidRPr="00CE5B7E" w:rsidRDefault="00F1737C">
            <w:pPr>
              <w:spacing w:after="0"/>
              <w:rPr>
                <w:rFonts w:ascii="Aptos" w:hAnsi="Aptos"/>
              </w:rPr>
            </w:pPr>
            <w:r w:rsidRPr="00CE5B7E">
              <w:rPr>
                <w:rFonts w:ascii="Aptos" w:hAnsi="Aptos"/>
                <w:sz w:val="18"/>
              </w:rPr>
              <w:t>Registered Provider stock</w:t>
            </w:r>
          </w:p>
        </w:tc>
        <w:tc>
          <w:tcPr>
            <w:tcW w:w="2835" w:type="dxa"/>
            <w:shd w:val="clear" w:color="auto" w:fill="EEF4F8"/>
            <w:tcMar>
              <w:top w:w="110" w:type="dxa"/>
              <w:left w:w="120" w:type="dxa"/>
              <w:bottom w:w="110" w:type="dxa"/>
              <w:right w:w="120" w:type="dxa"/>
            </w:tcMar>
            <w:vAlign w:val="center"/>
          </w:tcPr>
          <w:p w14:paraId="717B0D55" w14:textId="77777777" w:rsidR="00271EAC" w:rsidRPr="00CE5B7E" w:rsidRDefault="00F1737C">
            <w:pPr>
              <w:spacing w:after="0"/>
              <w:jc w:val="center"/>
              <w:rPr>
                <w:rFonts w:ascii="Aptos" w:hAnsi="Aptos"/>
              </w:rPr>
            </w:pPr>
            <w:r w:rsidRPr="00CE5B7E">
              <w:rPr>
                <w:rFonts w:ascii="Aptos" w:hAnsi="Aptos"/>
                <w:sz w:val="18"/>
              </w:rPr>
              <w:t>10</w:t>
            </w:r>
          </w:p>
        </w:tc>
      </w:tr>
      <w:tr w:rsidR="00271EAC" w:rsidRPr="00CE5B7E" w14:paraId="3A08404A" w14:textId="77777777">
        <w:trPr>
          <w:jc w:val="center"/>
        </w:trPr>
        <w:tc>
          <w:tcPr>
            <w:tcW w:w="6520" w:type="dxa"/>
            <w:shd w:val="clear" w:color="auto" w:fill="FFFFFF"/>
            <w:tcMar>
              <w:top w:w="110" w:type="dxa"/>
              <w:left w:w="120" w:type="dxa"/>
              <w:bottom w:w="110" w:type="dxa"/>
              <w:right w:w="120" w:type="dxa"/>
            </w:tcMar>
            <w:vAlign w:val="center"/>
          </w:tcPr>
          <w:p w14:paraId="6760BB65" w14:textId="77777777" w:rsidR="00271EAC" w:rsidRPr="00CE5B7E" w:rsidRDefault="00F1737C">
            <w:pPr>
              <w:spacing w:after="0"/>
              <w:rPr>
                <w:rFonts w:ascii="Aptos" w:hAnsi="Aptos"/>
              </w:rPr>
            </w:pPr>
            <w:r w:rsidRPr="00CE5B7E">
              <w:rPr>
                <w:rFonts w:ascii="Aptos" w:hAnsi="Aptos"/>
                <w:sz w:val="18"/>
              </w:rPr>
              <w:t>Placed outside Maldon District</w:t>
            </w:r>
          </w:p>
        </w:tc>
        <w:tc>
          <w:tcPr>
            <w:tcW w:w="2835" w:type="dxa"/>
            <w:shd w:val="clear" w:color="auto" w:fill="FFFFFF"/>
            <w:tcMar>
              <w:top w:w="110" w:type="dxa"/>
              <w:left w:w="120" w:type="dxa"/>
              <w:bottom w:w="110" w:type="dxa"/>
              <w:right w:w="120" w:type="dxa"/>
            </w:tcMar>
            <w:vAlign w:val="center"/>
          </w:tcPr>
          <w:p w14:paraId="05020862" w14:textId="77777777" w:rsidR="00271EAC" w:rsidRPr="00CE5B7E" w:rsidRDefault="00F1737C">
            <w:pPr>
              <w:spacing w:after="0"/>
              <w:jc w:val="center"/>
              <w:rPr>
                <w:rFonts w:ascii="Aptos" w:hAnsi="Aptos"/>
              </w:rPr>
            </w:pPr>
            <w:r w:rsidRPr="00CE5B7E">
              <w:rPr>
                <w:rFonts w:ascii="Aptos" w:hAnsi="Aptos"/>
                <w:sz w:val="18"/>
              </w:rPr>
              <w:t>21</w:t>
            </w:r>
          </w:p>
        </w:tc>
      </w:tr>
      <w:tr w:rsidR="00271EAC" w:rsidRPr="00CE5B7E" w14:paraId="698D35CA" w14:textId="77777777">
        <w:trPr>
          <w:jc w:val="center"/>
        </w:trPr>
        <w:tc>
          <w:tcPr>
            <w:tcW w:w="6520" w:type="dxa"/>
            <w:shd w:val="clear" w:color="auto" w:fill="EEF4F8"/>
            <w:tcMar>
              <w:top w:w="110" w:type="dxa"/>
              <w:left w:w="120" w:type="dxa"/>
              <w:bottom w:w="110" w:type="dxa"/>
              <w:right w:w="120" w:type="dxa"/>
            </w:tcMar>
            <w:vAlign w:val="center"/>
          </w:tcPr>
          <w:p w14:paraId="6997228F" w14:textId="77777777" w:rsidR="00271EAC" w:rsidRPr="00CE5B7E" w:rsidRDefault="00F1737C">
            <w:pPr>
              <w:spacing w:after="0"/>
              <w:rPr>
                <w:rFonts w:ascii="Aptos" w:hAnsi="Aptos"/>
              </w:rPr>
            </w:pPr>
            <w:r w:rsidRPr="00CE5B7E">
              <w:rPr>
                <w:rFonts w:ascii="Aptos" w:hAnsi="Aptos"/>
                <w:sz w:val="18"/>
              </w:rPr>
              <w:t>In bed and breakfast accommodation</w:t>
            </w:r>
          </w:p>
        </w:tc>
        <w:tc>
          <w:tcPr>
            <w:tcW w:w="2835" w:type="dxa"/>
            <w:shd w:val="clear" w:color="auto" w:fill="EEF4F8"/>
            <w:tcMar>
              <w:top w:w="110" w:type="dxa"/>
              <w:left w:w="120" w:type="dxa"/>
              <w:bottom w:w="110" w:type="dxa"/>
              <w:right w:w="120" w:type="dxa"/>
            </w:tcMar>
            <w:vAlign w:val="center"/>
          </w:tcPr>
          <w:p w14:paraId="6615B352" w14:textId="77777777" w:rsidR="00271EAC" w:rsidRPr="00CE5B7E" w:rsidRDefault="00F1737C">
            <w:pPr>
              <w:spacing w:after="0"/>
              <w:jc w:val="center"/>
              <w:rPr>
                <w:rFonts w:ascii="Aptos" w:hAnsi="Aptos"/>
              </w:rPr>
            </w:pPr>
            <w:r w:rsidRPr="00CE5B7E">
              <w:rPr>
                <w:rFonts w:ascii="Aptos" w:hAnsi="Aptos"/>
                <w:sz w:val="18"/>
              </w:rPr>
              <w:t>0</w:t>
            </w:r>
          </w:p>
        </w:tc>
      </w:tr>
    </w:tbl>
    <w:p w14:paraId="695580E3" w14:textId="77777777" w:rsidR="00271EAC" w:rsidRPr="00CE5B7E" w:rsidRDefault="00271EAC">
      <w:pPr>
        <w:spacing w:after="0"/>
        <w:rPr>
          <w:rFonts w:ascii="Aptos" w:hAnsi="Aptos"/>
        </w:rPr>
      </w:pPr>
    </w:p>
    <w:p w14:paraId="103E83FF" w14:textId="77777777" w:rsidR="00271EAC" w:rsidRPr="00CE5B7E" w:rsidRDefault="00F1737C">
      <w:pPr>
        <w:rPr>
          <w:rFonts w:ascii="Aptos" w:hAnsi="Aptos"/>
        </w:rPr>
      </w:pPr>
      <w:r w:rsidRPr="00CE5B7E">
        <w:rPr>
          <w:rFonts w:ascii="Aptos" w:hAnsi="Aptos"/>
        </w:rPr>
        <w:t>During 2025/26 the Council recorded 137 placement episodes, of which 116 were in nightly-paid self-contained accommodation and 97 were outside the district. These are placement episodes, not unique households, so a household that moved between placements may be counted more than once.</w:t>
      </w:r>
    </w:p>
    <w:p w14:paraId="70B9A216" w14:textId="77777777" w:rsidR="003C0496" w:rsidRDefault="00F1737C">
      <w:pPr>
        <w:rPr>
          <w:rFonts w:ascii="Aptos" w:hAnsi="Aptos"/>
        </w:rPr>
      </w:pPr>
      <w:r>
        <w:rPr>
          <w:rFonts w:ascii="Aptos" w:hAnsi="Aptos"/>
        </w:rPr>
        <w:t>Out-of-district placements may sometimes be necessary when suitable local accommodation is unavailable, but they can make it harder for households to maintain access to schools, employment, care, health services and family or community support. This can be particularly disruptive for families with children and people with support needs.</w:t>
      </w:r>
    </w:p>
    <w:p w14:paraId="495A86F5" w14:textId="77777777" w:rsidR="00271EAC" w:rsidRPr="00CE5B7E" w:rsidRDefault="00F1737C">
      <w:pPr>
        <w:rPr>
          <w:rFonts w:ascii="Aptos" w:hAnsi="Aptos"/>
        </w:rPr>
      </w:pPr>
      <w:r w:rsidRPr="00CE5B7E">
        <w:rPr>
          <w:rFonts w:ascii="Aptos" w:hAnsi="Aptos"/>
        </w:rPr>
        <w:t xml:space="preserve">Twenty-four of the 41 households in temporary accommodation </w:t>
      </w:r>
      <w:proofErr w:type="gramStart"/>
      <w:r w:rsidRPr="00CE5B7E">
        <w:rPr>
          <w:rFonts w:ascii="Aptos" w:hAnsi="Aptos"/>
        </w:rPr>
        <w:t>at</w:t>
      </w:r>
      <w:proofErr w:type="gramEnd"/>
      <w:r w:rsidRPr="00CE5B7E">
        <w:rPr>
          <w:rFonts w:ascii="Aptos" w:hAnsi="Aptos"/>
        </w:rPr>
        <w:t xml:space="preserve"> 31 March 2026 had been there for less than six months. Ten had been there for between six months and one year, five for between one and two years, and two for between two and five years. These are current stays measured at one date, not completed placement durations.</w:t>
      </w:r>
    </w:p>
    <w:p w14:paraId="30F83D1F" w14:textId="77777777" w:rsidR="00271EAC" w:rsidRPr="00CE5B7E" w:rsidRDefault="00F1737C">
      <w:pPr>
        <w:rPr>
          <w:rFonts w:ascii="Aptos" w:hAnsi="Aptos"/>
        </w:rPr>
      </w:pPr>
      <w:r w:rsidRPr="00CE5B7E">
        <w:rPr>
          <w:rFonts w:ascii="Aptos" w:hAnsi="Aptos"/>
        </w:rPr>
        <w:t xml:space="preserve">The absence of households in bed and breakfast accommodation </w:t>
      </w:r>
      <w:proofErr w:type="gramStart"/>
      <w:r w:rsidRPr="00CE5B7E">
        <w:rPr>
          <w:rFonts w:ascii="Aptos" w:hAnsi="Aptos"/>
        </w:rPr>
        <w:t>at</w:t>
      </w:r>
      <w:proofErr w:type="gramEnd"/>
      <w:r w:rsidRPr="00CE5B7E">
        <w:rPr>
          <w:rFonts w:ascii="Aptos" w:hAnsi="Aptos"/>
        </w:rPr>
        <w:t xml:space="preserve"> the snapshot date is a positive position. The wider figures show that pressure has shifted towards nightly-paid self-contained accommodation, often outside Maldon, rather than </w:t>
      </w:r>
      <w:proofErr w:type="gramStart"/>
      <w:r w:rsidRPr="00CE5B7E">
        <w:rPr>
          <w:rFonts w:ascii="Aptos" w:hAnsi="Aptos"/>
        </w:rPr>
        <w:t>disappeared</w:t>
      </w:r>
      <w:proofErr w:type="gramEnd"/>
      <w:r w:rsidRPr="00CE5B7E">
        <w:rPr>
          <w:rFonts w:ascii="Aptos" w:hAnsi="Aptos"/>
        </w:rPr>
        <w:t>.</w:t>
      </w:r>
    </w:p>
    <w:p w14:paraId="3E4D991E" w14:textId="77777777" w:rsidR="00271EAC" w:rsidRPr="00CE5B7E" w:rsidRDefault="00F1737C">
      <w:pPr>
        <w:pStyle w:val="Heading2"/>
        <w:rPr>
          <w:rFonts w:ascii="Aptos" w:hAnsi="Aptos"/>
        </w:rPr>
      </w:pPr>
      <w:r w:rsidRPr="00CE5B7E">
        <w:rPr>
          <w:rFonts w:ascii="Aptos" w:hAnsi="Aptos"/>
        </w:rPr>
        <w:t>Rough sleeping</w:t>
      </w:r>
    </w:p>
    <w:p w14:paraId="41F7D8FC" w14:textId="77777777" w:rsidR="00271EAC" w:rsidRPr="00CE5B7E" w:rsidRDefault="00F1737C">
      <w:pPr>
        <w:rPr>
          <w:rFonts w:ascii="Aptos" w:hAnsi="Aptos"/>
        </w:rPr>
      </w:pPr>
      <w:r w:rsidRPr="00CE5B7E">
        <w:rPr>
          <w:rFonts w:ascii="Aptos" w:hAnsi="Aptos"/>
        </w:rPr>
        <w:t xml:space="preserve">The autumn rough sleeping snapshot estimated that three people were sleeping rough in Maldon District in 2025, the same as in 2024 and up from none in 2023. Monthly management information recorded one person sleeping </w:t>
      </w:r>
      <w:proofErr w:type="gramStart"/>
      <w:r w:rsidRPr="00CE5B7E">
        <w:rPr>
          <w:rFonts w:ascii="Aptos" w:hAnsi="Aptos"/>
        </w:rPr>
        <w:t>rough long-term</w:t>
      </w:r>
      <w:proofErr w:type="gramEnd"/>
      <w:r w:rsidRPr="00CE5B7E">
        <w:rPr>
          <w:rFonts w:ascii="Aptos" w:hAnsi="Aptos"/>
        </w:rPr>
        <w:t xml:space="preserve"> in December 2025.</w:t>
      </w:r>
    </w:p>
    <w:p w14:paraId="5C4C0127" w14:textId="77777777" w:rsidR="00271EAC" w:rsidRPr="00CE5B7E" w:rsidRDefault="00F1737C">
      <w:pPr>
        <w:rPr>
          <w:rFonts w:ascii="Aptos" w:hAnsi="Aptos"/>
        </w:rPr>
      </w:pPr>
      <w:r w:rsidRPr="00CE5B7E">
        <w:rPr>
          <w:rFonts w:ascii="Aptos" w:hAnsi="Aptos"/>
        </w:rPr>
        <w:t xml:space="preserve">A single-night snapshot cannot capture every person sleeping </w:t>
      </w:r>
      <w:proofErr w:type="gramStart"/>
      <w:r w:rsidRPr="00CE5B7E">
        <w:rPr>
          <w:rFonts w:ascii="Aptos" w:hAnsi="Aptos"/>
        </w:rPr>
        <w:t>rough</w:t>
      </w:r>
      <w:proofErr w:type="gramEnd"/>
      <w:r w:rsidRPr="00CE5B7E">
        <w:rPr>
          <w:rFonts w:ascii="Aptos" w:hAnsi="Aptos"/>
        </w:rPr>
        <w:t xml:space="preserve">. In a large rural and coastal district, people may be less visible, </w:t>
      </w:r>
      <w:proofErr w:type="gramStart"/>
      <w:r w:rsidRPr="00CE5B7E">
        <w:rPr>
          <w:rFonts w:ascii="Aptos" w:hAnsi="Aptos"/>
        </w:rPr>
        <w:t>sleep in</w:t>
      </w:r>
      <w:proofErr w:type="gramEnd"/>
      <w:r w:rsidRPr="00CE5B7E">
        <w:rPr>
          <w:rFonts w:ascii="Aptos" w:hAnsi="Aptos"/>
        </w:rPr>
        <w:t xml:space="preserve"> vehicles or isolated sites, or move between rough sleeping and insecure arrangements with friends. Local intelligence from outreach, health, police and community organisations remains important.</w:t>
      </w:r>
    </w:p>
    <w:p w14:paraId="6AD52B8D" w14:textId="77777777" w:rsidR="00271EAC" w:rsidRPr="00CE5B7E" w:rsidRDefault="00F1737C">
      <w:pPr>
        <w:rPr>
          <w:rFonts w:ascii="Aptos" w:hAnsi="Aptos"/>
        </w:rPr>
      </w:pPr>
      <w:r w:rsidRPr="00CE5B7E">
        <w:rPr>
          <w:rFonts w:ascii="Aptos" w:hAnsi="Aptos"/>
        </w:rPr>
        <w:br w:type="page"/>
      </w:r>
    </w:p>
    <w:p w14:paraId="0EF4C021" w14:textId="77777777" w:rsidR="00271EAC" w:rsidRPr="00CE5B7E" w:rsidRDefault="00F1737C">
      <w:pPr>
        <w:pStyle w:val="Heading1"/>
        <w:rPr>
          <w:rFonts w:ascii="Aptos" w:hAnsi="Aptos"/>
        </w:rPr>
      </w:pPr>
      <w:r w:rsidRPr="00CE5B7E">
        <w:rPr>
          <w:rFonts w:ascii="Aptos" w:hAnsi="Aptos"/>
        </w:rPr>
        <w:lastRenderedPageBreak/>
        <w:t>What the evidence suggests</w:t>
      </w:r>
    </w:p>
    <w:p w14:paraId="5E7B67DC" w14:textId="77777777" w:rsidR="00271EAC" w:rsidRPr="00CE5B7E" w:rsidRDefault="00F1737C">
      <w:pPr>
        <w:rPr>
          <w:rFonts w:ascii="Aptos" w:hAnsi="Aptos"/>
        </w:rPr>
      </w:pPr>
      <w:r w:rsidRPr="00CE5B7E">
        <w:rPr>
          <w:rFonts w:ascii="Aptos" w:hAnsi="Aptos"/>
        </w:rPr>
        <w:t xml:space="preserve">The pressures described in this summary reinforce one another. High purchase prices keep some households in private renting for longer. Rising rents </w:t>
      </w:r>
      <w:proofErr w:type="gramStart"/>
      <w:r w:rsidRPr="00CE5B7E">
        <w:rPr>
          <w:rFonts w:ascii="Aptos" w:hAnsi="Aptos"/>
        </w:rPr>
        <w:t>make</w:t>
      </w:r>
      <w:proofErr w:type="gramEnd"/>
      <w:r w:rsidRPr="00CE5B7E">
        <w:rPr>
          <w:rFonts w:ascii="Aptos" w:hAnsi="Aptos"/>
        </w:rPr>
        <w:t xml:space="preserve"> tenancies harder to secure and sustain. Limited social housing restricts move-on. A shortage of smaller and accessible homes reduces movement within the existing stock.</w:t>
      </w:r>
    </w:p>
    <w:p w14:paraId="3F4C53C4" w14:textId="77777777" w:rsidR="00271EAC" w:rsidRPr="00CE5B7E" w:rsidRDefault="00F1737C">
      <w:pPr>
        <w:rPr>
          <w:rFonts w:ascii="Aptos" w:hAnsi="Aptos"/>
        </w:rPr>
      </w:pPr>
      <w:r w:rsidRPr="00CE5B7E">
        <w:rPr>
          <w:rFonts w:ascii="Aptos" w:hAnsi="Aptos"/>
        </w:rPr>
        <w:t>The evidence raises five main issues for the strategy and for this consultation:</w:t>
      </w:r>
    </w:p>
    <w:p w14:paraId="6E364ECE" w14:textId="77777777" w:rsidR="00271EAC" w:rsidRPr="00CE5B7E" w:rsidRDefault="00F1737C">
      <w:pPr>
        <w:pStyle w:val="ListBullet"/>
        <w:ind w:left="369" w:hanging="170"/>
        <w:rPr>
          <w:rFonts w:ascii="Aptos" w:hAnsi="Aptos"/>
        </w:rPr>
      </w:pPr>
      <w:r w:rsidRPr="00CE5B7E">
        <w:rPr>
          <w:rFonts w:ascii="Aptos" w:hAnsi="Aptos"/>
        </w:rPr>
        <w:t>how the Council and its partners can identify housing risk earlier, particularly where a private tenancy is ending, arrangements with family or friends are breaking down, or domestic abuse is present</w:t>
      </w:r>
    </w:p>
    <w:p w14:paraId="347A356A" w14:textId="163104F6" w:rsidR="00271EAC" w:rsidRPr="00CE5B7E" w:rsidRDefault="00F1737C">
      <w:pPr>
        <w:pStyle w:val="ListBullet"/>
        <w:ind w:left="369" w:hanging="170"/>
        <w:rPr>
          <w:rFonts w:ascii="Aptos" w:hAnsi="Aptos"/>
        </w:rPr>
      </w:pPr>
      <w:proofErr w:type="gramStart"/>
      <w:r>
        <w:rPr>
          <w:rFonts w:ascii="Aptos" w:hAnsi="Aptos"/>
        </w:rPr>
        <w:t>how</w:t>
      </w:r>
      <w:proofErr w:type="gramEnd"/>
      <w:r>
        <w:rPr>
          <w:rFonts w:ascii="Aptos" w:hAnsi="Aptos"/>
        </w:rPr>
        <w:t xml:space="preserve"> to ensure housing growth delivers more rented homes that are affordable to households on local incomes, alongside smaller and accessible homes and suitable family housing</w:t>
      </w:r>
    </w:p>
    <w:p w14:paraId="4F5FF1A8" w14:textId="77777777" w:rsidR="00271EAC" w:rsidRPr="00CE5B7E" w:rsidRDefault="00F1737C">
      <w:pPr>
        <w:pStyle w:val="ListBullet"/>
        <w:ind w:left="369" w:hanging="170"/>
        <w:rPr>
          <w:rFonts w:ascii="Aptos" w:hAnsi="Aptos"/>
        </w:rPr>
      </w:pPr>
      <w:r w:rsidRPr="00CE5B7E">
        <w:rPr>
          <w:rFonts w:ascii="Aptos" w:hAnsi="Aptos"/>
        </w:rPr>
        <w:t>how to make better use of existing homes through adaptations, nominations, tenancy sustainment, landlord engagement and proportionate action on empty or poor-quality homes</w:t>
      </w:r>
    </w:p>
    <w:p w14:paraId="2EC6A52E" w14:textId="71981699" w:rsidR="00271EAC" w:rsidRPr="00CE5B7E" w:rsidRDefault="00F1737C">
      <w:pPr>
        <w:pStyle w:val="ListBullet"/>
        <w:ind w:left="369" w:hanging="170"/>
        <w:rPr>
          <w:rFonts w:ascii="Aptos" w:hAnsi="Aptos"/>
        </w:rPr>
      </w:pPr>
      <w:proofErr w:type="gramStart"/>
      <w:r>
        <w:rPr>
          <w:rFonts w:ascii="Aptos" w:hAnsi="Aptos"/>
        </w:rPr>
        <w:t>how</w:t>
      </w:r>
      <w:proofErr w:type="gramEnd"/>
      <w:r>
        <w:rPr>
          <w:rFonts w:ascii="Aptos" w:hAnsi="Aptos"/>
        </w:rPr>
        <w:t xml:space="preserve"> to reduce reliance on nightly-paid and out-of-district temporary accommodation, limit disruption to households’ local connections and maintain </w:t>
      </w:r>
      <w:proofErr w:type="gramStart"/>
      <w:r>
        <w:rPr>
          <w:rFonts w:ascii="Aptos" w:hAnsi="Aptos"/>
        </w:rPr>
        <w:t>the</w:t>
      </w:r>
      <w:proofErr w:type="gramEnd"/>
      <w:r>
        <w:rPr>
          <w:rFonts w:ascii="Aptos" w:hAnsi="Aptos"/>
        </w:rPr>
        <w:t xml:space="preserve"> strong position on avoiding bed and breakfast use</w:t>
      </w:r>
    </w:p>
    <w:p w14:paraId="15BBA5D0" w14:textId="77777777" w:rsidR="00271EAC" w:rsidRPr="00CE5B7E" w:rsidRDefault="00F1737C">
      <w:pPr>
        <w:pStyle w:val="ListBullet"/>
        <w:ind w:left="369" w:hanging="170"/>
        <w:rPr>
          <w:rFonts w:ascii="Aptos" w:hAnsi="Aptos"/>
        </w:rPr>
      </w:pPr>
      <w:r w:rsidRPr="00CE5B7E">
        <w:rPr>
          <w:rFonts w:ascii="Aptos" w:hAnsi="Aptos"/>
        </w:rPr>
        <w:t>how housing, health, care, domestic abuse and other services can work more clearly around the resident, with shared evidence and accountability</w:t>
      </w:r>
    </w:p>
    <w:p w14:paraId="5AD4D6B5" w14:textId="77777777" w:rsidR="00271EAC" w:rsidRPr="00CE5B7E" w:rsidRDefault="00F1737C">
      <w:pPr>
        <w:rPr>
          <w:rFonts w:ascii="Aptos" w:hAnsi="Aptos"/>
        </w:rPr>
      </w:pPr>
      <w:r w:rsidRPr="00CE5B7E">
        <w:rPr>
          <w:rFonts w:ascii="Aptos" w:hAnsi="Aptos"/>
        </w:rPr>
        <w:t>Maldon District Council is a non-stock-holding authority, so it does not own the district's social housing. It can act directly in some areas, including homelessness services, housing standards and Disabled Facilities Grants. Many outcomes depend on its planning, enabling and convening roles and on sustained work with Registered Providers, developers, Essex County Council, health services and community organisations.</w:t>
      </w:r>
    </w:p>
    <w:p w14:paraId="323DB5CC" w14:textId="77777777" w:rsidR="00271EAC" w:rsidRPr="00CE5B7E" w:rsidRDefault="00F1737C">
      <w:pPr>
        <w:rPr>
          <w:rFonts w:ascii="Aptos" w:hAnsi="Aptos"/>
        </w:rPr>
      </w:pPr>
      <w:r w:rsidRPr="00CE5B7E">
        <w:rPr>
          <w:rFonts w:ascii="Aptos" w:hAnsi="Aptos"/>
          <w:b/>
        </w:rPr>
        <w:t>Your consultation response</w:t>
      </w:r>
      <w:r w:rsidRPr="00CE5B7E">
        <w:rPr>
          <w:rFonts w:ascii="Aptos" w:hAnsi="Aptos"/>
        </w:rPr>
        <w:t xml:space="preserve"> will help the Council test whether these are the right issues, understand how they affect different people and places, and decide where the strategy should focus.</w:t>
      </w:r>
    </w:p>
    <w:p w14:paraId="04741700" w14:textId="77777777" w:rsidR="00271EAC" w:rsidRPr="00CE5B7E" w:rsidRDefault="00F1737C">
      <w:pPr>
        <w:pStyle w:val="Heading2"/>
        <w:rPr>
          <w:rFonts w:ascii="Aptos" w:hAnsi="Aptos"/>
        </w:rPr>
      </w:pPr>
      <w:r w:rsidRPr="00CE5B7E">
        <w:rPr>
          <w:rFonts w:ascii="Aptos" w:hAnsi="Aptos"/>
        </w:rPr>
        <w:t>How the figures should be read</w:t>
      </w:r>
    </w:p>
    <w:p w14:paraId="74A2FDD7" w14:textId="77777777" w:rsidR="00271EAC" w:rsidRPr="00CE5B7E" w:rsidRDefault="00F1737C">
      <w:pPr>
        <w:pStyle w:val="ListBullet"/>
        <w:ind w:left="369" w:hanging="170"/>
        <w:rPr>
          <w:rFonts w:ascii="Aptos" w:hAnsi="Aptos"/>
        </w:rPr>
      </w:pPr>
      <w:r w:rsidRPr="00CE5B7E">
        <w:rPr>
          <w:rFonts w:ascii="Aptos" w:hAnsi="Aptos"/>
        </w:rPr>
        <w:t xml:space="preserve">Percentages and totals may </w:t>
      </w:r>
      <w:proofErr w:type="gramStart"/>
      <w:r w:rsidRPr="00CE5B7E">
        <w:rPr>
          <w:rFonts w:ascii="Aptos" w:hAnsi="Aptos"/>
        </w:rPr>
        <w:t>use</w:t>
      </w:r>
      <w:proofErr w:type="gramEnd"/>
      <w:r w:rsidRPr="00CE5B7E">
        <w:rPr>
          <w:rFonts w:ascii="Aptos" w:hAnsi="Aptos"/>
        </w:rPr>
        <w:t xml:space="preserve"> different populations and reporting periods. They should not be combined unless the text says they can be.</w:t>
      </w:r>
    </w:p>
    <w:p w14:paraId="2BF10CB4" w14:textId="77777777" w:rsidR="00271EAC" w:rsidRPr="00CE5B7E" w:rsidRDefault="00F1737C">
      <w:pPr>
        <w:pStyle w:val="ListBullet"/>
        <w:ind w:left="369" w:hanging="170"/>
        <w:rPr>
          <w:rFonts w:ascii="Aptos" w:hAnsi="Aptos"/>
        </w:rPr>
      </w:pPr>
      <w:r w:rsidRPr="00CE5B7E">
        <w:rPr>
          <w:rFonts w:ascii="Aptos" w:hAnsi="Aptos"/>
        </w:rPr>
        <w:t>Homelessness duties describe stages in the legal process. The same household may move through more than one stage.</w:t>
      </w:r>
    </w:p>
    <w:p w14:paraId="598128EF" w14:textId="77777777" w:rsidR="00271EAC" w:rsidRPr="00CE5B7E" w:rsidRDefault="00F1737C">
      <w:pPr>
        <w:pStyle w:val="ListBullet"/>
        <w:ind w:left="369" w:hanging="170"/>
        <w:rPr>
          <w:rFonts w:ascii="Aptos" w:hAnsi="Aptos"/>
        </w:rPr>
      </w:pPr>
      <w:r w:rsidRPr="00CE5B7E">
        <w:rPr>
          <w:rFonts w:ascii="Aptos" w:hAnsi="Aptos"/>
        </w:rPr>
        <w:t>Temporary accommodation placement figures count episodes, while the snapshot counts households present on one date.</w:t>
      </w:r>
    </w:p>
    <w:p w14:paraId="4B0C46F8" w14:textId="77777777" w:rsidR="00271EAC" w:rsidRPr="00CE5B7E" w:rsidRDefault="00F1737C">
      <w:pPr>
        <w:pStyle w:val="ListBullet"/>
        <w:ind w:left="369" w:hanging="170"/>
        <w:rPr>
          <w:rFonts w:ascii="Aptos" w:hAnsi="Aptos"/>
        </w:rPr>
      </w:pPr>
      <w:r w:rsidRPr="00CE5B7E">
        <w:rPr>
          <w:rFonts w:ascii="Aptos" w:hAnsi="Aptos"/>
        </w:rPr>
        <w:t>Population and housing-need projections are planning estimates. They are not exact predictions or delivery targets.</w:t>
      </w:r>
    </w:p>
    <w:p w14:paraId="310B7262" w14:textId="77777777" w:rsidR="00271EAC" w:rsidRPr="00CE5B7E" w:rsidRDefault="00F1737C">
      <w:pPr>
        <w:rPr>
          <w:rFonts w:ascii="Aptos" w:hAnsi="Aptos"/>
        </w:rPr>
      </w:pPr>
      <w:r w:rsidRPr="00CE5B7E">
        <w:rPr>
          <w:rFonts w:ascii="Aptos" w:hAnsi="Aptos"/>
        </w:rPr>
        <w:br w:type="page"/>
      </w:r>
    </w:p>
    <w:p w14:paraId="1F2FEEB9" w14:textId="77777777" w:rsidR="00271EAC" w:rsidRPr="00CE5B7E" w:rsidRDefault="00F1737C">
      <w:pPr>
        <w:pStyle w:val="Heading1"/>
        <w:rPr>
          <w:rFonts w:ascii="Aptos" w:hAnsi="Aptos"/>
        </w:rPr>
      </w:pPr>
      <w:r w:rsidRPr="00CE5B7E">
        <w:rPr>
          <w:rFonts w:ascii="Aptos" w:hAnsi="Aptos"/>
        </w:rPr>
        <w:lastRenderedPageBreak/>
        <w:t>Sources</w:t>
      </w:r>
    </w:p>
    <w:p w14:paraId="0CE5EFE0" w14:textId="6DAE4004" w:rsidR="00271EAC" w:rsidRPr="00CE5B7E" w:rsidRDefault="00F1737C">
      <w:pPr>
        <w:rPr>
          <w:rFonts w:ascii="Aptos" w:hAnsi="Aptos"/>
        </w:rPr>
      </w:pPr>
      <w:r w:rsidRPr="00CE5B7E">
        <w:rPr>
          <w:rFonts w:ascii="Aptos" w:hAnsi="Aptos"/>
        </w:rPr>
        <w:t xml:space="preserve">Principal published sources are listed below. </w:t>
      </w:r>
      <w:r w:rsidR="008B6489">
        <w:rPr>
          <w:rFonts w:ascii="Aptos" w:hAnsi="Aptos"/>
        </w:rPr>
        <w:t xml:space="preserve">Datasets </w:t>
      </w:r>
      <w:r w:rsidRPr="00CE5B7E">
        <w:rPr>
          <w:rFonts w:ascii="Aptos" w:hAnsi="Aptos"/>
        </w:rPr>
        <w:t>and the detailed methodology will be documented in the full evidence base and statutory Homelessness Review.</w:t>
      </w:r>
    </w:p>
    <w:p w14:paraId="6C300E7B" w14:textId="77777777" w:rsidR="00271EAC" w:rsidRPr="00CE5B7E" w:rsidRDefault="00271EAC">
      <w:pPr>
        <w:pStyle w:val="ListBullet"/>
        <w:ind w:left="369" w:hanging="170"/>
        <w:rPr>
          <w:rFonts w:ascii="Aptos" w:hAnsi="Aptos"/>
        </w:rPr>
      </w:pPr>
      <w:hyperlink r:id="rId12">
        <w:r w:rsidRPr="00CE5B7E">
          <w:rPr>
            <w:rFonts w:ascii="Aptos" w:hAnsi="Aptos"/>
            <w:color w:val="1F4E79"/>
            <w:sz w:val="18"/>
            <w:u w:val="single"/>
          </w:rPr>
          <w:t>Office for National Statistics local indicators for Maldon</w:t>
        </w:r>
      </w:hyperlink>
      <w:r w:rsidRPr="00CE5B7E">
        <w:rPr>
          <w:rFonts w:ascii="Aptos" w:hAnsi="Aptos"/>
          <w:sz w:val="18"/>
        </w:rPr>
        <w:t>: Population, age, housing and local comparisons.</w:t>
      </w:r>
    </w:p>
    <w:p w14:paraId="0AA88809" w14:textId="77777777" w:rsidR="00271EAC" w:rsidRPr="00CE5B7E" w:rsidRDefault="00271EAC">
      <w:pPr>
        <w:pStyle w:val="ListBullet"/>
        <w:ind w:left="369" w:hanging="170"/>
        <w:rPr>
          <w:rFonts w:ascii="Aptos" w:hAnsi="Aptos"/>
        </w:rPr>
      </w:pPr>
      <w:hyperlink r:id="rId13">
        <w:r w:rsidRPr="00CE5B7E">
          <w:rPr>
            <w:rFonts w:ascii="Aptos" w:hAnsi="Aptos"/>
            <w:color w:val="1F4E79"/>
            <w:sz w:val="18"/>
            <w:u w:val="single"/>
          </w:rPr>
          <w:t>Office for National Statistics Housing affordability in England and Wales 2025</w:t>
        </w:r>
      </w:hyperlink>
      <w:r w:rsidRPr="00CE5B7E">
        <w:rPr>
          <w:rFonts w:ascii="Aptos" w:hAnsi="Aptos"/>
          <w:sz w:val="18"/>
        </w:rPr>
        <w:t>: House prices, earnings and affordability ratios.</w:t>
      </w:r>
    </w:p>
    <w:p w14:paraId="7E7784C7" w14:textId="77777777" w:rsidR="00271EAC" w:rsidRPr="00CE5B7E" w:rsidRDefault="00271EAC">
      <w:pPr>
        <w:pStyle w:val="ListBullet"/>
        <w:ind w:left="369" w:hanging="170"/>
        <w:rPr>
          <w:rFonts w:ascii="Aptos" w:hAnsi="Aptos"/>
        </w:rPr>
      </w:pPr>
      <w:hyperlink r:id="rId14">
        <w:r w:rsidRPr="00CE5B7E">
          <w:rPr>
            <w:rFonts w:ascii="Aptos" w:hAnsi="Aptos"/>
            <w:color w:val="1F4E79"/>
            <w:sz w:val="18"/>
            <w:u w:val="single"/>
          </w:rPr>
          <w:t>Maldon Local Housing Needs Assessment Update September 2025</w:t>
        </w:r>
      </w:hyperlink>
      <w:r w:rsidRPr="00CE5B7E">
        <w:rPr>
          <w:rFonts w:ascii="Aptos" w:hAnsi="Aptos"/>
          <w:sz w:val="18"/>
        </w:rPr>
        <w:t>: Overall and affordable housing need, tenure and specialist housing estimates.</w:t>
      </w:r>
    </w:p>
    <w:p w14:paraId="4A2DB962" w14:textId="77777777" w:rsidR="00271EAC" w:rsidRPr="00CE5B7E" w:rsidRDefault="00271EAC">
      <w:pPr>
        <w:pStyle w:val="ListBullet"/>
        <w:ind w:left="369" w:hanging="170"/>
        <w:rPr>
          <w:rFonts w:ascii="Aptos" w:hAnsi="Aptos"/>
        </w:rPr>
      </w:pPr>
      <w:hyperlink r:id="rId15">
        <w:r w:rsidRPr="00CE5B7E">
          <w:rPr>
            <w:rFonts w:ascii="Aptos" w:hAnsi="Aptos"/>
            <w:color w:val="1F4E79"/>
            <w:sz w:val="18"/>
            <w:u w:val="single"/>
          </w:rPr>
          <w:t xml:space="preserve">Maldon </w:t>
        </w:r>
        <w:proofErr w:type="gramStart"/>
        <w:r w:rsidRPr="00CE5B7E">
          <w:rPr>
            <w:rFonts w:ascii="Aptos" w:hAnsi="Aptos"/>
            <w:color w:val="1F4E79"/>
            <w:sz w:val="18"/>
            <w:u w:val="single"/>
          </w:rPr>
          <w:t>five year</w:t>
        </w:r>
        <w:proofErr w:type="gramEnd"/>
        <w:r w:rsidRPr="00CE5B7E">
          <w:rPr>
            <w:rFonts w:ascii="Aptos" w:hAnsi="Aptos"/>
            <w:color w:val="1F4E79"/>
            <w:sz w:val="18"/>
            <w:u w:val="single"/>
          </w:rPr>
          <w:t xml:space="preserve"> housing land supply calculation February 2026</w:t>
        </w:r>
      </w:hyperlink>
      <w:r w:rsidRPr="00CE5B7E">
        <w:rPr>
          <w:rFonts w:ascii="Aptos" w:hAnsi="Aptos"/>
          <w:sz w:val="18"/>
        </w:rPr>
        <w:t>: Housing requirement and deliverable land supply.</w:t>
      </w:r>
    </w:p>
    <w:p w14:paraId="572DBE71" w14:textId="77777777" w:rsidR="00271EAC" w:rsidRPr="00CE5B7E" w:rsidRDefault="00271EAC">
      <w:pPr>
        <w:pStyle w:val="ListBullet"/>
        <w:ind w:left="369" w:hanging="170"/>
        <w:rPr>
          <w:rFonts w:ascii="Aptos" w:hAnsi="Aptos"/>
        </w:rPr>
      </w:pPr>
      <w:hyperlink r:id="rId16">
        <w:r w:rsidRPr="00CE5B7E">
          <w:rPr>
            <w:rFonts w:ascii="Aptos" w:hAnsi="Aptos"/>
            <w:color w:val="1F4E79"/>
            <w:sz w:val="18"/>
            <w:u w:val="single"/>
          </w:rPr>
          <w:t>MHCLG Statutory homelessness in England January to March 2026</w:t>
        </w:r>
      </w:hyperlink>
      <w:r w:rsidRPr="00CE5B7E">
        <w:rPr>
          <w:rFonts w:ascii="Aptos" w:hAnsi="Aptos"/>
          <w:sz w:val="18"/>
        </w:rPr>
        <w:t>: Assessments, duties, outcomes, reasons, household characteristics and temporary accommodation.</w:t>
      </w:r>
    </w:p>
    <w:p w14:paraId="10EFC6BA" w14:textId="77777777" w:rsidR="00271EAC" w:rsidRPr="00CE5B7E" w:rsidRDefault="00271EAC">
      <w:pPr>
        <w:pStyle w:val="ListBullet"/>
        <w:ind w:left="369" w:hanging="170"/>
        <w:rPr>
          <w:rFonts w:ascii="Aptos" w:hAnsi="Aptos"/>
        </w:rPr>
      </w:pPr>
      <w:hyperlink r:id="rId17">
        <w:r w:rsidRPr="00CE5B7E">
          <w:rPr>
            <w:rFonts w:ascii="Aptos" w:hAnsi="Aptos"/>
            <w:color w:val="1F4E79"/>
            <w:sz w:val="18"/>
            <w:u w:val="single"/>
          </w:rPr>
          <w:t>MHCLG Affordable housing supply in England 2024 to 2025</w:t>
        </w:r>
      </w:hyperlink>
      <w:r w:rsidRPr="00CE5B7E">
        <w:rPr>
          <w:rFonts w:ascii="Aptos" w:hAnsi="Aptos"/>
          <w:sz w:val="18"/>
        </w:rPr>
        <w:t>: Affordable housing additions by tenure.</w:t>
      </w:r>
    </w:p>
    <w:p w14:paraId="59A78098" w14:textId="77777777" w:rsidR="00271EAC" w:rsidRPr="00CE5B7E" w:rsidRDefault="00271EAC">
      <w:pPr>
        <w:pStyle w:val="ListBullet"/>
        <w:ind w:left="369" w:hanging="170"/>
        <w:rPr>
          <w:rFonts w:ascii="Aptos" w:hAnsi="Aptos"/>
        </w:rPr>
      </w:pPr>
      <w:hyperlink r:id="rId18">
        <w:r w:rsidRPr="00CE5B7E">
          <w:rPr>
            <w:rFonts w:ascii="Aptos" w:hAnsi="Aptos"/>
            <w:color w:val="1F4E79"/>
            <w:sz w:val="18"/>
            <w:u w:val="single"/>
          </w:rPr>
          <w:t>MHCLG Rough sleeping snapshot in England autumn 2025</w:t>
        </w:r>
      </w:hyperlink>
      <w:r w:rsidRPr="00CE5B7E">
        <w:rPr>
          <w:rFonts w:ascii="Aptos" w:hAnsi="Aptos"/>
          <w:sz w:val="18"/>
        </w:rPr>
        <w:t>: Estimated people sleeping rough on a single night.</w:t>
      </w:r>
    </w:p>
    <w:p w14:paraId="09FD3BD0" w14:textId="77777777" w:rsidR="00271EAC" w:rsidRPr="00CE5B7E" w:rsidRDefault="00F1737C">
      <w:pPr>
        <w:pStyle w:val="Heading2"/>
        <w:rPr>
          <w:rFonts w:ascii="Aptos" w:hAnsi="Aptos"/>
        </w:rPr>
      </w:pPr>
      <w:r w:rsidRPr="00CE5B7E">
        <w:rPr>
          <w:rFonts w:ascii="Aptos" w:hAnsi="Aptos"/>
        </w:rPr>
        <w:t>Council and local evidence</w:t>
      </w:r>
    </w:p>
    <w:p w14:paraId="52EC3FF3" w14:textId="77777777" w:rsidR="00271EAC" w:rsidRPr="00CE5B7E" w:rsidRDefault="00F1737C">
      <w:pPr>
        <w:pStyle w:val="ListBullet"/>
        <w:ind w:left="369" w:hanging="170"/>
        <w:rPr>
          <w:rFonts w:ascii="Aptos" w:hAnsi="Aptos"/>
        </w:rPr>
      </w:pPr>
      <w:r w:rsidRPr="00CE5B7E">
        <w:rPr>
          <w:rFonts w:ascii="Aptos" w:hAnsi="Aptos"/>
        </w:rPr>
        <w:t>Maldon District Council housing register extract</w:t>
      </w:r>
    </w:p>
    <w:p w14:paraId="4C5E3F9E" w14:textId="77777777" w:rsidR="00271EAC" w:rsidRPr="00CE5B7E" w:rsidRDefault="00F1737C">
      <w:pPr>
        <w:pStyle w:val="ListBullet"/>
        <w:ind w:left="369" w:hanging="170"/>
        <w:rPr>
          <w:rFonts w:ascii="Aptos" w:hAnsi="Aptos"/>
        </w:rPr>
      </w:pPr>
      <w:r w:rsidRPr="00CE5B7E">
        <w:rPr>
          <w:rFonts w:ascii="Aptos" w:hAnsi="Aptos"/>
        </w:rPr>
        <w:t>Maldon District Council homelessness and temporary accommodation records</w:t>
      </w:r>
    </w:p>
    <w:p w14:paraId="56BB7148" w14:textId="77777777" w:rsidR="00271EAC" w:rsidRPr="00CE5B7E" w:rsidRDefault="00F1737C">
      <w:pPr>
        <w:pStyle w:val="ListBullet"/>
        <w:ind w:left="369" w:hanging="170"/>
        <w:rPr>
          <w:rFonts w:ascii="Aptos" w:hAnsi="Aptos"/>
        </w:rPr>
      </w:pPr>
      <w:r w:rsidRPr="00CE5B7E">
        <w:rPr>
          <w:rFonts w:ascii="Aptos" w:hAnsi="Aptos"/>
        </w:rPr>
        <w:t>Maldon District Council Data Aggregate September 2026</w:t>
      </w:r>
    </w:p>
    <w:p w14:paraId="6FF5ABAC" w14:textId="77777777" w:rsidR="00271EAC" w:rsidRPr="00CE5B7E" w:rsidRDefault="00F1737C">
      <w:pPr>
        <w:pStyle w:val="ListBullet"/>
        <w:ind w:left="369" w:hanging="170"/>
        <w:rPr>
          <w:rFonts w:ascii="Aptos" w:hAnsi="Aptos"/>
        </w:rPr>
      </w:pPr>
      <w:r w:rsidRPr="00CE5B7E">
        <w:rPr>
          <w:rFonts w:ascii="Aptos" w:hAnsi="Aptos"/>
        </w:rPr>
        <w:t>Maldon District Gypsy and Traveller Accommodation Assessment September 2024</w:t>
      </w:r>
    </w:p>
    <w:p w14:paraId="3EC7E17E" w14:textId="77777777" w:rsidR="00271EAC" w:rsidRPr="00CE5B7E" w:rsidRDefault="00F1737C">
      <w:pPr>
        <w:pStyle w:val="ListBullet"/>
        <w:ind w:left="369" w:hanging="170"/>
        <w:rPr>
          <w:rFonts w:ascii="Aptos" w:hAnsi="Aptos"/>
        </w:rPr>
      </w:pPr>
      <w:r w:rsidRPr="00CE5B7E">
        <w:rPr>
          <w:rFonts w:ascii="Aptos" w:hAnsi="Aptos"/>
        </w:rPr>
        <w:t xml:space="preserve">Council service capacity and finance </w:t>
      </w:r>
      <w:proofErr w:type="gramStart"/>
      <w:r w:rsidRPr="00CE5B7E">
        <w:rPr>
          <w:rFonts w:ascii="Aptos" w:hAnsi="Aptos"/>
        </w:rPr>
        <w:t>returns</w:t>
      </w:r>
      <w:proofErr w:type="gramEnd"/>
      <w:r w:rsidRPr="00CE5B7E">
        <w:rPr>
          <w:rFonts w:ascii="Aptos" w:hAnsi="Aptos"/>
        </w:rPr>
        <w:t xml:space="preserve"> August 2026</w:t>
      </w:r>
    </w:p>
    <w:p w14:paraId="152269EE" w14:textId="77777777" w:rsidR="00271EAC" w:rsidRPr="00CE5B7E" w:rsidRDefault="00F1737C">
      <w:pPr>
        <w:pStyle w:val="Sourcenote"/>
        <w:rPr>
          <w:rFonts w:ascii="Aptos" w:hAnsi="Aptos"/>
        </w:rPr>
      </w:pPr>
      <w:r w:rsidRPr="00CE5B7E">
        <w:rPr>
          <w:rFonts w:ascii="Aptos" w:hAnsi="Aptos"/>
        </w:rPr>
        <w:t xml:space="preserve">Data was compiled during 2026. Figures may be updated before the strategy and statutory Homelessness Review are </w:t>
      </w:r>
      <w:proofErr w:type="spellStart"/>
      <w:r w:rsidRPr="00CE5B7E">
        <w:rPr>
          <w:rFonts w:ascii="Aptos" w:hAnsi="Aptos"/>
        </w:rPr>
        <w:t>finalised</w:t>
      </w:r>
      <w:proofErr w:type="spellEnd"/>
      <w:r w:rsidRPr="00CE5B7E">
        <w:rPr>
          <w:rFonts w:ascii="Aptos" w:hAnsi="Aptos"/>
        </w:rPr>
        <w:t>.</w:t>
      </w:r>
    </w:p>
    <w:sectPr w:rsidR="00271EAC" w:rsidRPr="00CE5B7E" w:rsidSect="007F7CAF">
      <w:headerReference w:type="default" r:id="rId19"/>
      <w:footerReference w:type="default" r:id="rId20"/>
      <w:pgSz w:w="11906" w:h="16838"/>
      <w:pgMar w:top="1020" w:right="1134" w:bottom="1020" w:left="1134"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3CCAB" w14:textId="77777777" w:rsidR="0046602D" w:rsidRDefault="0046602D">
      <w:pPr>
        <w:spacing w:after="0" w:line="240" w:lineRule="auto"/>
      </w:pPr>
      <w:r>
        <w:separator/>
      </w:r>
    </w:p>
  </w:endnote>
  <w:endnote w:type="continuationSeparator" w:id="0">
    <w:p w14:paraId="4B761587" w14:textId="77777777" w:rsidR="0046602D" w:rsidRDefault="00466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78BA6" w14:textId="2F57566A" w:rsidR="00271EAC" w:rsidRDefault="007F7CAF" w:rsidP="007F7CAF">
    <w:pPr>
      <w:pStyle w:val="Footer"/>
      <w:jc w:val="center"/>
    </w:pPr>
    <w:r>
      <w:rPr>
        <w:color w:val="4D4D4D"/>
        <w:sz w:val="17"/>
      </w:rPr>
      <w:t xml:space="preserve">Headline Evidence Base  |  Page </w:t>
    </w:r>
    <w:r>
      <w:rPr>
        <w:color w:val="4D4D4D"/>
        <w:sz w:val="17"/>
      </w:rPr>
      <w:fldChar w:fldCharType="begin"/>
    </w:r>
    <w:r>
      <w:rPr>
        <w:color w:val="4D4D4D"/>
        <w:sz w:val="17"/>
      </w:rPr>
      <w:instrText>PAGE</w:instrText>
    </w:r>
    <w:r>
      <w:rPr>
        <w:color w:val="4D4D4D"/>
        <w:sz w:val="17"/>
      </w:rPr>
      <w:fldChar w:fldCharType="separate"/>
    </w:r>
    <w:r>
      <w:rPr>
        <w:color w:val="4D4D4D"/>
        <w:sz w:val="17"/>
      </w:rPr>
      <w:t>1</w:t>
    </w:r>
    <w:r>
      <w:rPr>
        <w:color w:val="4D4D4D"/>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01B4F" w14:textId="77777777" w:rsidR="0046602D" w:rsidRDefault="0046602D">
      <w:pPr>
        <w:spacing w:after="0" w:line="240" w:lineRule="auto"/>
      </w:pPr>
      <w:r>
        <w:separator/>
      </w:r>
    </w:p>
  </w:footnote>
  <w:footnote w:type="continuationSeparator" w:id="0">
    <w:p w14:paraId="4E313938" w14:textId="77777777" w:rsidR="0046602D" w:rsidRDefault="00466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D984" w14:textId="77777777" w:rsidR="00E56120" w:rsidRDefault="00E56120" w:rsidP="00E56120">
    <w:pPr>
      <w:pStyle w:val="Header"/>
      <w:jc w:val="right"/>
    </w:pPr>
    <w:r>
      <w:rPr>
        <w:color w:val="666666"/>
        <w:sz w:val="17"/>
      </w:rPr>
      <w:t xml:space="preserve">Maldon District </w:t>
    </w:r>
    <w:r>
      <w:rPr>
        <w:color w:val="666666"/>
        <w:sz w:val="17"/>
      </w:rPr>
      <w:t>Council  |  Housing, Homelessness and Rough Sleeping Strategy</w:t>
    </w:r>
  </w:p>
  <w:p w14:paraId="4A4B8C7D" w14:textId="17C0AC2C" w:rsidR="00271EAC" w:rsidRPr="00E56120" w:rsidRDefault="00271EAC" w:rsidP="00E561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AFF4D8FA"/>
    <w:lvl w:ilvl="0">
      <w:start w:val="1"/>
      <w:numFmt w:val="bullet"/>
      <w:pStyle w:val="ListBullet"/>
      <w:lvlText w:val=""/>
      <w:lvlJc w:val="left"/>
      <w:pPr>
        <w:tabs>
          <w:tab w:val="num" w:pos="360"/>
        </w:tabs>
        <w:ind w:left="360" w:hanging="360"/>
      </w:pPr>
      <w:rPr>
        <w:rFonts w:ascii="Symbol" w:hAnsi="Symbol" w:hint="default"/>
      </w:rPr>
    </w:lvl>
  </w:abstractNum>
  <w:num w:numId="1" w16cid:durableId="1096948472">
    <w:abstractNumId w:val="8"/>
  </w:num>
  <w:num w:numId="2" w16cid:durableId="1130055499">
    <w:abstractNumId w:val="4"/>
  </w:num>
  <w:num w:numId="3" w16cid:durableId="1155605289">
    <w:abstractNumId w:val="6"/>
  </w:num>
  <w:num w:numId="4" w16cid:durableId="1338731264">
    <w:abstractNumId w:val="2"/>
  </w:num>
  <w:num w:numId="5" w16cid:durableId="2017881417">
    <w:abstractNumId w:val="1"/>
  </w:num>
  <w:num w:numId="6" w16cid:durableId="2075469410">
    <w:abstractNumId w:val="0"/>
  </w:num>
  <w:num w:numId="7" w16cid:durableId="274748844">
    <w:abstractNumId w:val="3"/>
  </w:num>
  <w:num w:numId="8" w16cid:durableId="624315060">
    <w:abstractNumId w:val="7"/>
  </w:num>
  <w:num w:numId="9" w16cid:durableId="9722462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1CB"/>
    <w:rsid w:val="00017317"/>
    <w:rsid w:val="00025DEB"/>
    <w:rsid w:val="00026662"/>
    <w:rsid w:val="00026750"/>
    <w:rsid w:val="00034616"/>
    <w:rsid w:val="0004176B"/>
    <w:rsid w:val="00052726"/>
    <w:rsid w:val="0006063C"/>
    <w:rsid w:val="000632D0"/>
    <w:rsid w:val="00067C55"/>
    <w:rsid w:val="00072010"/>
    <w:rsid w:val="00075991"/>
    <w:rsid w:val="00093F66"/>
    <w:rsid w:val="00097BBC"/>
    <w:rsid w:val="000A6288"/>
    <w:rsid w:val="000B207D"/>
    <w:rsid w:val="000B4BEF"/>
    <w:rsid w:val="000B75C5"/>
    <w:rsid w:val="000D1C56"/>
    <w:rsid w:val="000E185E"/>
    <w:rsid w:val="00146543"/>
    <w:rsid w:val="0015074B"/>
    <w:rsid w:val="00181ED8"/>
    <w:rsid w:val="00185B7B"/>
    <w:rsid w:val="00185CCF"/>
    <w:rsid w:val="001B75B8"/>
    <w:rsid w:val="001D2E84"/>
    <w:rsid w:val="001E3E2E"/>
    <w:rsid w:val="001E6CD4"/>
    <w:rsid w:val="002103C4"/>
    <w:rsid w:val="0023787F"/>
    <w:rsid w:val="00243ECD"/>
    <w:rsid w:val="00252E6C"/>
    <w:rsid w:val="00254299"/>
    <w:rsid w:val="002701B7"/>
    <w:rsid w:val="00271EAC"/>
    <w:rsid w:val="002933A6"/>
    <w:rsid w:val="00295CF2"/>
    <w:rsid w:val="0029639D"/>
    <w:rsid w:val="002C261B"/>
    <w:rsid w:val="002D3086"/>
    <w:rsid w:val="002E5841"/>
    <w:rsid w:val="003016BA"/>
    <w:rsid w:val="00320017"/>
    <w:rsid w:val="003216D1"/>
    <w:rsid w:val="00322D2E"/>
    <w:rsid w:val="00326E4B"/>
    <w:rsid w:val="00326F90"/>
    <w:rsid w:val="00331C3D"/>
    <w:rsid w:val="00333A72"/>
    <w:rsid w:val="00335010"/>
    <w:rsid w:val="003404A8"/>
    <w:rsid w:val="00353CE6"/>
    <w:rsid w:val="00356603"/>
    <w:rsid w:val="003574D5"/>
    <w:rsid w:val="00361467"/>
    <w:rsid w:val="00371F73"/>
    <w:rsid w:val="003A08F2"/>
    <w:rsid w:val="003B5F83"/>
    <w:rsid w:val="003C0496"/>
    <w:rsid w:val="003D5B23"/>
    <w:rsid w:val="003E7B0E"/>
    <w:rsid w:val="003F52FA"/>
    <w:rsid w:val="0041539A"/>
    <w:rsid w:val="004260B0"/>
    <w:rsid w:val="0042697A"/>
    <w:rsid w:val="004300FE"/>
    <w:rsid w:val="004302E5"/>
    <w:rsid w:val="00442DBF"/>
    <w:rsid w:val="00446DB9"/>
    <w:rsid w:val="004537F1"/>
    <w:rsid w:val="00460E62"/>
    <w:rsid w:val="0046602D"/>
    <w:rsid w:val="0048779A"/>
    <w:rsid w:val="00492D55"/>
    <w:rsid w:val="004A1130"/>
    <w:rsid w:val="004B26AC"/>
    <w:rsid w:val="004B73EF"/>
    <w:rsid w:val="00504D6A"/>
    <w:rsid w:val="005152DE"/>
    <w:rsid w:val="00541D0B"/>
    <w:rsid w:val="005422F7"/>
    <w:rsid w:val="00545BD6"/>
    <w:rsid w:val="00545D6D"/>
    <w:rsid w:val="005570B9"/>
    <w:rsid w:val="00562ED6"/>
    <w:rsid w:val="00582E22"/>
    <w:rsid w:val="00587A39"/>
    <w:rsid w:val="00590F09"/>
    <w:rsid w:val="0059139A"/>
    <w:rsid w:val="005B0334"/>
    <w:rsid w:val="005C06F6"/>
    <w:rsid w:val="005D4E92"/>
    <w:rsid w:val="005D5CB6"/>
    <w:rsid w:val="005E74EC"/>
    <w:rsid w:val="005F745D"/>
    <w:rsid w:val="006078F6"/>
    <w:rsid w:val="0062221E"/>
    <w:rsid w:val="006365F0"/>
    <w:rsid w:val="00644622"/>
    <w:rsid w:val="0065230B"/>
    <w:rsid w:val="006529FF"/>
    <w:rsid w:val="00652D72"/>
    <w:rsid w:val="00654376"/>
    <w:rsid w:val="0066538F"/>
    <w:rsid w:val="006759CD"/>
    <w:rsid w:val="00680C3D"/>
    <w:rsid w:val="00684BB2"/>
    <w:rsid w:val="006A1509"/>
    <w:rsid w:val="006A2724"/>
    <w:rsid w:val="006A419B"/>
    <w:rsid w:val="006A5CB9"/>
    <w:rsid w:val="006B1DC1"/>
    <w:rsid w:val="006C2DA3"/>
    <w:rsid w:val="006C5324"/>
    <w:rsid w:val="006C6D37"/>
    <w:rsid w:val="006C794D"/>
    <w:rsid w:val="006D65AE"/>
    <w:rsid w:val="006D66D2"/>
    <w:rsid w:val="006E1061"/>
    <w:rsid w:val="006E348C"/>
    <w:rsid w:val="006E466E"/>
    <w:rsid w:val="006F2AC1"/>
    <w:rsid w:val="007074D9"/>
    <w:rsid w:val="007139BE"/>
    <w:rsid w:val="00723417"/>
    <w:rsid w:val="0072503C"/>
    <w:rsid w:val="0073263A"/>
    <w:rsid w:val="00743464"/>
    <w:rsid w:val="007655E2"/>
    <w:rsid w:val="007872F8"/>
    <w:rsid w:val="007952D0"/>
    <w:rsid w:val="007A2240"/>
    <w:rsid w:val="007A3266"/>
    <w:rsid w:val="007A57FE"/>
    <w:rsid w:val="007B0D5D"/>
    <w:rsid w:val="007C3929"/>
    <w:rsid w:val="007D06E2"/>
    <w:rsid w:val="007D2776"/>
    <w:rsid w:val="007F6563"/>
    <w:rsid w:val="007F7CAF"/>
    <w:rsid w:val="00804292"/>
    <w:rsid w:val="00846DB6"/>
    <w:rsid w:val="008571E7"/>
    <w:rsid w:val="00857399"/>
    <w:rsid w:val="008603BC"/>
    <w:rsid w:val="008651C3"/>
    <w:rsid w:val="008669C4"/>
    <w:rsid w:val="008940FF"/>
    <w:rsid w:val="008B1388"/>
    <w:rsid w:val="008B286B"/>
    <w:rsid w:val="008B6489"/>
    <w:rsid w:val="008C6DF4"/>
    <w:rsid w:val="008D0C48"/>
    <w:rsid w:val="008D1EB5"/>
    <w:rsid w:val="008E4670"/>
    <w:rsid w:val="008E646C"/>
    <w:rsid w:val="008F5914"/>
    <w:rsid w:val="009154DA"/>
    <w:rsid w:val="00936AB1"/>
    <w:rsid w:val="00944545"/>
    <w:rsid w:val="009472DF"/>
    <w:rsid w:val="00962FB7"/>
    <w:rsid w:val="00965D1C"/>
    <w:rsid w:val="00965EE8"/>
    <w:rsid w:val="009734AB"/>
    <w:rsid w:val="00974B65"/>
    <w:rsid w:val="0098572A"/>
    <w:rsid w:val="00986168"/>
    <w:rsid w:val="00995DB9"/>
    <w:rsid w:val="009A7C03"/>
    <w:rsid w:val="009C4954"/>
    <w:rsid w:val="009C529D"/>
    <w:rsid w:val="009E49AE"/>
    <w:rsid w:val="009E54A9"/>
    <w:rsid w:val="009E5939"/>
    <w:rsid w:val="00A02CA2"/>
    <w:rsid w:val="00A13BDE"/>
    <w:rsid w:val="00A56589"/>
    <w:rsid w:val="00A60253"/>
    <w:rsid w:val="00A60343"/>
    <w:rsid w:val="00A67DCD"/>
    <w:rsid w:val="00AA0715"/>
    <w:rsid w:val="00AA0E46"/>
    <w:rsid w:val="00AA1D8D"/>
    <w:rsid w:val="00AC1535"/>
    <w:rsid w:val="00AC33ED"/>
    <w:rsid w:val="00AD06ED"/>
    <w:rsid w:val="00AD1C15"/>
    <w:rsid w:val="00AD1E81"/>
    <w:rsid w:val="00AD29A2"/>
    <w:rsid w:val="00AD3CFA"/>
    <w:rsid w:val="00AE69BD"/>
    <w:rsid w:val="00AF5312"/>
    <w:rsid w:val="00B058C1"/>
    <w:rsid w:val="00B15023"/>
    <w:rsid w:val="00B17397"/>
    <w:rsid w:val="00B24880"/>
    <w:rsid w:val="00B47730"/>
    <w:rsid w:val="00B5358C"/>
    <w:rsid w:val="00B54A8D"/>
    <w:rsid w:val="00B54C64"/>
    <w:rsid w:val="00B57205"/>
    <w:rsid w:val="00B62CC1"/>
    <w:rsid w:val="00B72122"/>
    <w:rsid w:val="00B774D8"/>
    <w:rsid w:val="00B8241C"/>
    <w:rsid w:val="00BB096D"/>
    <w:rsid w:val="00BC53CA"/>
    <w:rsid w:val="00BD044F"/>
    <w:rsid w:val="00BD4A9D"/>
    <w:rsid w:val="00BE6629"/>
    <w:rsid w:val="00BE7AE9"/>
    <w:rsid w:val="00C12D24"/>
    <w:rsid w:val="00C20AAD"/>
    <w:rsid w:val="00C3743A"/>
    <w:rsid w:val="00C419A9"/>
    <w:rsid w:val="00C53D3A"/>
    <w:rsid w:val="00C61A4F"/>
    <w:rsid w:val="00C63B4D"/>
    <w:rsid w:val="00C63B6A"/>
    <w:rsid w:val="00C63B91"/>
    <w:rsid w:val="00C64169"/>
    <w:rsid w:val="00C7179D"/>
    <w:rsid w:val="00C84E10"/>
    <w:rsid w:val="00C84F21"/>
    <w:rsid w:val="00CA2D4F"/>
    <w:rsid w:val="00CA52CB"/>
    <w:rsid w:val="00CB0664"/>
    <w:rsid w:val="00CB2D97"/>
    <w:rsid w:val="00CD358C"/>
    <w:rsid w:val="00CE0B0B"/>
    <w:rsid w:val="00CE45C6"/>
    <w:rsid w:val="00CE5B7E"/>
    <w:rsid w:val="00D060ED"/>
    <w:rsid w:val="00D14334"/>
    <w:rsid w:val="00D43D23"/>
    <w:rsid w:val="00D721A1"/>
    <w:rsid w:val="00D72290"/>
    <w:rsid w:val="00D76C4C"/>
    <w:rsid w:val="00D818BF"/>
    <w:rsid w:val="00D82E3A"/>
    <w:rsid w:val="00D910A2"/>
    <w:rsid w:val="00DA2979"/>
    <w:rsid w:val="00DB034B"/>
    <w:rsid w:val="00DB6CA4"/>
    <w:rsid w:val="00DC38D0"/>
    <w:rsid w:val="00DC3FA9"/>
    <w:rsid w:val="00DF087F"/>
    <w:rsid w:val="00DF3714"/>
    <w:rsid w:val="00E06554"/>
    <w:rsid w:val="00E12717"/>
    <w:rsid w:val="00E17C64"/>
    <w:rsid w:val="00E2536B"/>
    <w:rsid w:val="00E31DA0"/>
    <w:rsid w:val="00E40762"/>
    <w:rsid w:val="00E4117B"/>
    <w:rsid w:val="00E463A7"/>
    <w:rsid w:val="00E465A5"/>
    <w:rsid w:val="00E46F58"/>
    <w:rsid w:val="00E56120"/>
    <w:rsid w:val="00E569C0"/>
    <w:rsid w:val="00E6143F"/>
    <w:rsid w:val="00E61FC6"/>
    <w:rsid w:val="00E6412B"/>
    <w:rsid w:val="00E73B36"/>
    <w:rsid w:val="00E75644"/>
    <w:rsid w:val="00E876AF"/>
    <w:rsid w:val="00EB0EC9"/>
    <w:rsid w:val="00EC2EB3"/>
    <w:rsid w:val="00EC6A2C"/>
    <w:rsid w:val="00ED41AB"/>
    <w:rsid w:val="00EE132C"/>
    <w:rsid w:val="00EE3846"/>
    <w:rsid w:val="00EF03EF"/>
    <w:rsid w:val="00EF4EE1"/>
    <w:rsid w:val="00F122D7"/>
    <w:rsid w:val="00F12533"/>
    <w:rsid w:val="00F151DE"/>
    <w:rsid w:val="00F1737C"/>
    <w:rsid w:val="00F21EB1"/>
    <w:rsid w:val="00F252EE"/>
    <w:rsid w:val="00F264E7"/>
    <w:rsid w:val="00F27466"/>
    <w:rsid w:val="00F3082C"/>
    <w:rsid w:val="00F427CC"/>
    <w:rsid w:val="00F4282C"/>
    <w:rsid w:val="00F564BC"/>
    <w:rsid w:val="00F56BF3"/>
    <w:rsid w:val="00F607C4"/>
    <w:rsid w:val="00F612E5"/>
    <w:rsid w:val="00F8263B"/>
    <w:rsid w:val="00F90232"/>
    <w:rsid w:val="00F97A42"/>
    <w:rsid w:val="00FB39E5"/>
    <w:rsid w:val="00FB55F0"/>
    <w:rsid w:val="00FC0FF0"/>
    <w:rsid w:val="00FC2635"/>
    <w:rsid w:val="00FC693F"/>
    <w:rsid w:val="00FC6D1C"/>
    <w:rsid w:val="00FF68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362678"/>
  <w14:defaultImageDpi w14:val="300"/>
  <w15:docId w15:val="{ACBE3E65-9260-4509-AAB7-525CFF611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20"/>
    </w:pPr>
    <w:rPr>
      <w:rFonts w:asciiTheme="majorHAnsi" w:eastAsiaTheme="majorEastAsia" w:hAnsiTheme="majorHAnsi" w:cstheme="majorBidi"/>
      <w:i/>
      <w:iCs/>
      <w:color w:val="4D4D4D"/>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8"/>
      </w:numPr>
      <w:spacing w:after="60"/>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pPr>
      <w:spacing w:after="100"/>
    </w:pPr>
    <w:rPr>
      <w:rFonts w:ascii="Arial" w:hAnsi="Arial"/>
      <w:i/>
      <w:color w:val="666666"/>
      <w:sz w:val="17"/>
    </w:rPr>
  </w:style>
  <w:style w:type="paragraph" w:styleId="Revision">
    <w:name w:val="Revision"/>
    <w:hidden/>
    <w:uiPriority w:val="99"/>
    <w:semiHidden/>
    <w:rsid w:val="00962FB7"/>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ons.gov.uk/peoplepopulationandcommunity/housing/bulletins/housingaffordabilityinenglandandwales/2025/previous/v1/pdf" TargetMode="External"/><Relationship Id="rId18" Type="http://schemas.openxmlformats.org/officeDocument/2006/relationships/hyperlink" Target="https://www.gov.uk/government/statistics/rough-sleeping-snapshot-in-england-autumn-2025/rough-sleeping-snapshot-in-england-autumn-202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ons.gov.uk/explore-local-statistics/areas/E07000074-maldon/indicators" TargetMode="External"/><Relationship Id="rId17" Type="http://schemas.openxmlformats.org/officeDocument/2006/relationships/hyperlink" Target="https://www.gov.uk/government/statistics/affordable-housing-supply-in-england-2024-to-2025/affordable-housing-supply-in-england-2024-to-2025" TargetMode="External"/><Relationship Id="rId2" Type="http://schemas.openxmlformats.org/officeDocument/2006/relationships/customXml" Target="../customXml/item2.xml"/><Relationship Id="rId16" Type="http://schemas.openxmlformats.org/officeDocument/2006/relationships/hyperlink" Target="https://www.gov.uk/government/statistics/statutory-homelessness-in-england-january-to-march-2026/statutory-homelessness-in-england-january-to-march-202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cdp.maldon.gov.uk/w2webparts/Resource/Civica/Handler.ashx/Doc/pagestream?cd=inline&amp;docno=2435259&amp;pdf=true"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ldon.gov.uk/download/downloads/id/20166/final_lhna_september_2025.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49EB567520246B90E8B5FE0E69FCC" ma:contentTypeVersion="36" ma:contentTypeDescription="Create a new document." ma:contentTypeScope="" ma:versionID="c0cbd25c33bf030ad975b06d1e8a45ae">
  <xsd:schema xmlns:xsd="http://www.w3.org/2001/XMLSchema" xmlns:xs="http://www.w3.org/2001/XMLSchema" xmlns:p="http://schemas.microsoft.com/office/2006/metadata/properties" xmlns:ns2="e22ca4a5-2e74-46b2-80a4-ea8d8fdac963" xmlns:ns3="7b9af3cd-c551-4663-9634-1c286048c7c2" xmlns:ns4="d0fda21b-bd98-4d8b-a6b4-3b5429e275f4" targetNamespace="http://schemas.microsoft.com/office/2006/metadata/properties" ma:root="true" ma:fieldsID="7dce1da5eeb2001ddfabdbff211576aa" ns2:_="" ns3:_="" ns4:_="">
    <xsd:import namespace="e22ca4a5-2e74-46b2-80a4-ea8d8fdac963"/>
    <xsd:import namespace="7b9af3cd-c551-4663-9634-1c286048c7c2"/>
    <xsd:import namespace="d0fda21b-bd98-4d8b-a6b4-3b5429e275f4"/>
    <xsd:element name="properties">
      <xsd:complexType>
        <xsd:sequence>
          <xsd:element name="documentManagement">
            <xsd:complexType>
              <xsd:all>
                <xsd:element ref="ns2:MediaServiceMetadata" minOccurs="0"/>
                <xsd:element ref="ns2:MediaServiceFastMetadata" minOccurs="0"/>
                <xsd:element ref="ns3:TaxKeywordTaxHTField" minOccurs="0"/>
                <xsd:element ref="ns3:TaxCatchAll" minOccurs="0"/>
                <xsd:element ref="ns4:eea2c944ed194c339b4552d6fc424ce7" minOccurs="0"/>
                <xsd:element ref="ns4:m758813ef4ed4322b0fec1aa2f57892a" minOccurs="0"/>
                <xsd:element ref="ns4:a1f092fbfcd142d885d8f243eb4cf369" minOccurs="0"/>
                <xsd:element ref="ns2:_Flow_SignoffStatus"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ca4a5-2e74-46b2-80a4-ea8d8fdac963"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_Flow_SignoffStatus" ma:index="15" nillable="true" ma:displayName="Sign-off status" ma:internalName="Sign_x002d_off_x0020_status" ma:readOnly="fals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bac31ce-62e4-4cd4-9172-3c7efc19b452"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Location" ma:index="2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9af3cd-c551-4663-9634-1c286048c7c2" elementFormDefault="qualified">
    <xsd:import namespace="http://schemas.microsoft.com/office/2006/documentManagement/types"/>
    <xsd:import namespace="http://schemas.microsoft.com/office/infopath/2007/PartnerControls"/>
    <xsd:element name="TaxKeywordTaxHTField" ma:index="7" nillable="true" ma:taxonomy="true" ma:internalName="TaxKeywordTaxHTField" ma:taxonomyFieldName="TaxKeyword" ma:displayName="Enterprise Keywords" ma:fieldId="{23f27201-bee3-471e-b2e7-b64fd8b7ca38}" ma:taxonomyMulti="true" ma:sspId="fbac31ce-62e4-4cd4-9172-3c7efc19b452" ma:termSetId="00000000-0000-0000-0000-000000000000" ma:anchorId="00000000-0000-0000-0000-000000000000" ma:open="true" ma:isKeyword="true">
      <xsd:complexType>
        <xsd:sequence>
          <xsd:element ref="pc:Terms" minOccurs="0" maxOccurs="1"/>
        </xsd:sequence>
      </xsd:complexType>
    </xsd:element>
    <xsd:element name="TaxCatchAll" ma:index="8" nillable="true" ma:displayName="Taxonomy Catch All Column" ma:hidden="true" ma:list="{139e488a-79c4-4642-956d-ac259393133d}" ma:internalName="TaxCatchAll" ma:showField="CatchAllData" ma:web="7b9af3cd-c551-4663-9634-1c286048c7c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fda21b-bd98-4d8b-a6b4-3b5429e275f4" elementFormDefault="qualified">
    <xsd:import namespace="http://schemas.microsoft.com/office/2006/documentManagement/types"/>
    <xsd:import namespace="http://schemas.microsoft.com/office/infopath/2007/PartnerControls"/>
    <xsd:element name="eea2c944ed194c339b4552d6fc424ce7" ma:index="10" nillable="true" ma:displayName="Offering_0" ma:hidden="true" ma:internalName="eea2c944ed194c339b4552d6fc424ce7" ma:readOnly="false">
      <xsd:simpleType>
        <xsd:restriction base="dms:Note"/>
      </xsd:simpleType>
    </xsd:element>
    <xsd:element name="m758813ef4ed4322b0fec1aa2f57892a" ma:index="12" nillable="true" ma:displayName="Document Type_0" ma:hidden="true" ma:internalName="m758813ef4ed4322b0fec1aa2f57892a" ma:readOnly="false">
      <xsd:simpleType>
        <xsd:restriction base="dms:Note"/>
      </xsd:simpleType>
    </xsd:element>
    <xsd:element name="a1f092fbfcd142d885d8f243eb4cf369" ma:index="14" nillable="true" ma:displayName="Sector_0" ma:hidden="true" ma:internalName="a1f092fbfcd142d885d8f243eb4cf369"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b9af3cd-c551-4663-9634-1c286048c7c2">
      <Value>1215</Value>
    </TaxCatchAll>
    <_Flow_SignoffStatus xmlns="e22ca4a5-2e74-46b2-80a4-ea8d8fdac963" xsi:nil="true"/>
    <m758813ef4ed4322b0fec1aa2f57892a xmlns="d0fda21b-bd98-4d8b-a6b4-3b5429e275f4" xsi:nil="true"/>
    <lcf76f155ced4ddcb4097134ff3c332f xmlns="e22ca4a5-2e74-46b2-80a4-ea8d8fdac963">
      <Terms xmlns="http://schemas.microsoft.com/office/infopath/2007/PartnerControls"/>
    </lcf76f155ced4ddcb4097134ff3c332f>
    <eea2c944ed194c339b4552d6fc424ce7 xmlns="d0fda21b-bd98-4d8b-a6b4-3b5429e275f4" xsi:nil="true"/>
    <a1f092fbfcd142d885d8f243eb4cf369 xmlns="d0fda21b-bd98-4d8b-a6b4-3b5429e275f4" xsi:nil="true"/>
    <TaxKeywordTaxHTField xmlns="7b9af3cd-c551-4663-9634-1c286048c7c2">
      <Terms xmlns="http://schemas.microsoft.com/office/infopath/2007/PartnerControls">
        <TermInfo xmlns="http://schemas.microsoft.com/office/infopath/2007/PartnerControls">
          <TermName xmlns="http://schemas.microsoft.com/office/infopath/2007/PartnerControls">Maldon housing homelessness rough sleeping consultation evidence</TermName>
          <TermId xmlns="http://schemas.microsoft.com/office/infopath/2007/PartnerControls">132aed13-8bdb-46f9-b7e7-a630c829b1d6</TermId>
        </TermInfo>
      </Terms>
    </TaxKeywordTaxHT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61D025-CC61-49B4-B1A9-7C0342D19F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ca4a5-2e74-46b2-80a4-ea8d8fdac963"/>
    <ds:schemaRef ds:uri="7b9af3cd-c551-4663-9634-1c286048c7c2"/>
    <ds:schemaRef ds:uri="d0fda21b-bd98-4d8b-a6b4-3b5429e27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EA742-1112-4A60-A1AA-EE265D090CC6}">
  <ds:schemaRefs>
    <ds:schemaRef ds:uri="http://schemas.microsoft.com/office/2006/metadata/properties"/>
    <ds:schemaRef ds:uri="http://schemas.microsoft.com/office/infopath/2007/PartnerControls"/>
    <ds:schemaRef ds:uri="7b9af3cd-c551-4663-9634-1c286048c7c2"/>
    <ds:schemaRef ds:uri="e22ca4a5-2e74-46b2-80a4-ea8d8fdac963"/>
    <ds:schemaRef ds:uri="d0fda21b-bd98-4d8b-a6b4-3b5429e275f4"/>
  </ds:schemaRefs>
</ds:datastoreItem>
</file>

<file path=customXml/itemProps3.xml><?xml version="1.0" encoding="utf-8"?>
<ds:datastoreItem xmlns:ds="http://schemas.openxmlformats.org/officeDocument/2006/customXml" ds:itemID="{385BF85E-718B-418B-9FCC-CDB2ECF09780}">
  <ds:schemaRefs>
    <ds:schemaRef ds:uri="http://schemas.microsoft.com/sharepoint/v3/contenttype/forms"/>
  </ds:schemaRefs>
</ds:datastoreItem>
</file>

<file path=docMetadata/LabelInfo.xml><?xml version="1.0" encoding="utf-8"?>
<clbl:labelList xmlns:clbl="http://schemas.microsoft.com/office/2020/mipLabelMetadata">
  <clbl:label id="{f6e5d45d-ed59-4778-8e79-db7475c5fbef}" enabled="0" method="" siteId="{f6e5d45d-ed59-4778-8e79-db7475c5fbef}"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2591</Words>
  <Characters>14773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Maldon District Housing Homelessness and Rough Sleeping Strategy Headline Evidence for Public Consultation</dc:title>
  <dc:subject>Headline housing and homelessness evidence to support public consultation</dc:subject>
  <dc:creator>Maldon District Council</dc:creator>
  <cp:keywords>Maldon housing homelessness rough sleeping consultation evidence</cp:keywords>
  <dc:description>generated by python-docx</dc:description>
  <cp:lastModifiedBy>Joel Dickens</cp:lastModifiedBy>
  <cp:revision>5</cp:revision>
  <dcterms:created xsi:type="dcterms:W3CDTF">2026-09-18T14:38:00Z</dcterms:created>
  <dcterms:modified xsi:type="dcterms:W3CDTF">2026-09-23T12:16:00Z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0x010100A5149EB567520246B90E8B5FE0E69FCC</vt:lpwstr>
  </property>
  <property fmtid="{D5CDD505-2E9C-101B-9397-08002B2CF9AE}" pid="3" name="TaxKeyword">
    <vt:lpwstr>1215;#Maldon housing homelessness rough sleeping consultation evidence|132aed13-8bdb-46f9-b7e7-a630c829b1d6</vt:lpwstr>
  </property>
  <property fmtid="{D5CDD505-2E9C-101B-9397-08002B2CF9AE}" pid="4" name="Sector">
    <vt:lpwstr/>
  </property>
  <property fmtid="{D5CDD505-2E9C-101B-9397-08002B2CF9AE}" pid="5" name="Offering">
    <vt:lpwstr/>
  </property>
  <property fmtid="{D5CDD505-2E9C-101B-9397-08002B2CF9AE}" pid="6" name="Document_x0020_Type">
    <vt:lpwstr/>
  </property>
  <property fmtid="{D5CDD505-2E9C-101B-9397-08002B2CF9AE}" pid="7" name="Document Type">
    <vt:lpwstr/>
  </property>
  <property fmtid="{D5CDD505-2E9C-101B-9397-08002B2CF9AE}" pid="8" name="MediaServiceImageTags">
    <vt:lpwstr/>
  </property>
</Properties>
</file>